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1DC02B">
      <w:bookmarkStart w:id="0" w:name="_GoBack"/>
      <w:bookmarkEnd w:id="0"/>
    </w:p>
    <w:p w14:paraId="6E62345E"/>
    <w:p w14:paraId="487FF900">
      <w:pPr>
        <w:keepNext/>
        <w:keepLines/>
        <w:tabs>
          <w:tab w:val="center" w:pos="4816"/>
          <w:tab w:val="left" w:pos="8445"/>
        </w:tabs>
        <w:spacing w:line="259" w:lineRule="auto"/>
        <w:jc w:val="center"/>
        <w:outlineLvl w:val="0"/>
        <w:rPr>
          <w:rFonts w:ascii="Titillium Web" w:hAnsi="Titillium Web" w:eastAsia="Times New Roman" w:cs="Times New Roman"/>
          <w:b/>
          <w:bCs/>
          <w:color w:val="595959"/>
          <w:sz w:val="44"/>
          <w:szCs w:val="44"/>
          <w:lang w:eastAsia="en-US"/>
        </w:rPr>
      </w:pPr>
      <w:r>
        <w:rPr>
          <w:rFonts w:ascii="Titillium Web" w:hAnsi="Titillium Web" w:eastAsia="Times New Roman" w:cs="Times New Roman"/>
          <w:b/>
          <w:bCs/>
          <w:color w:val="9102AE"/>
          <w:sz w:val="32"/>
          <w:szCs w:val="32"/>
          <w:lang w:eastAsia="en-US"/>
        </w:rPr>
        <w:drawing>
          <wp:inline distT="0" distB="0" distL="0" distR="0">
            <wp:extent cx="861695" cy="861695"/>
            <wp:effectExtent l="0" t="0" r="1905" b="1905"/>
            <wp:docPr id="96943291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432918" name="Immagine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76507" cy="876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tillium Web" w:hAnsi="Titillium Web" w:eastAsia="Times New Roman" w:cs="Times New Roman"/>
          <w:color w:val="2E74B5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3940175</wp:posOffset>
                </wp:positionH>
                <wp:positionV relativeFrom="paragraph">
                  <wp:posOffset>14605</wp:posOffset>
                </wp:positionV>
                <wp:extent cx="2400935" cy="767080"/>
                <wp:effectExtent l="0" t="0" r="0" b="33655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1038" cy="7669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10.25pt;margin-top:1.15pt;height:60.4pt;width:189.05pt;z-index:251661312;v-text-anchor:middle;mso-width-relative:page;mso-height-relative:page;" filled="f" stroked="f" coordsize="21600,21600" o:gfxdata="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DjU&#10;6UbYAAAACQEAAA8AAAAAAAAAAQAgAAAAIgAAAGRycy9kb3ducmV2LnhtbFBLAQIUABQAAAAIAIdO&#10;4kB4u70ilQIAADoFAAAOAAAAAAAAAAEAIAAAACcBAABkcnMvZTJvRG9jLnhtbFBLBQYAAAAABgAG&#10;AFkBAAAuBgAAAAA=&#10;">
                <v:fill on="f" focussize="0,0"/>
                <v:stroke on="f"/>
                <v:imagedata o:title=""/>
                <o:lock v:ext="edit" aspectratio="f"/>
                <v:shadow on="t" color="#000000" opacity="22937f" offset="0pt,1.81102362204724pt" origin="0f,32768f" matrix="65536f,0f,0f,65536f"/>
              </v:rect>
            </w:pict>
          </mc:Fallback>
        </mc:AlternateContent>
      </w:r>
    </w:p>
    <w:p w14:paraId="708062C4">
      <w:pPr>
        <w:keepNext/>
        <w:keepLines/>
        <w:spacing w:line="259" w:lineRule="auto"/>
        <w:jc w:val="center"/>
        <w:outlineLvl w:val="0"/>
        <w:rPr>
          <w:rFonts w:ascii="Titillium Web" w:hAnsi="Titillium Web" w:eastAsia="Times New Roman" w:cs="Times New Roman"/>
          <w:b/>
          <w:bCs/>
          <w:color w:val="376092" w:themeColor="accent1" w:themeShade="BF"/>
          <w:sz w:val="44"/>
          <w:szCs w:val="44"/>
          <w:lang w:eastAsia="en-US"/>
        </w:rPr>
      </w:pPr>
      <w:r>
        <w:rPr>
          <w:rFonts w:ascii="Titillium Web" w:hAnsi="Titillium Web" w:eastAsia="Times New Roman" w:cs="Times New Roman"/>
          <w:b/>
          <w:bCs/>
          <w:color w:val="376092" w:themeColor="accent1" w:themeShade="BF"/>
          <w:sz w:val="44"/>
          <w:szCs w:val="44"/>
          <w:lang w:eastAsia="en-US"/>
        </w:rPr>
        <w:t>Bilancio iniziale delle competenze</w:t>
      </w:r>
    </w:p>
    <w:p w14:paraId="0859FD61">
      <w:pPr>
        <w:keepNext/>
        <w:keepLines/>
        <w:spacing w:before="240" w:line="259" w:lineRule="auto"/>
        <w:jc w:val="center"/>
        <w:outlineLvl w:val="0"/>
        <w:rPr>
          <w:rFonts w:ascii="Titillium Web" w:hAnsi="Titillium Web" w:eastAsia="Times New Roman" w:cs="Times New Roman"/>
          <w:color w:val="2E74B5"/>
          <w:sz w:val="18"/>
          <w:szCs w:val="18"/>
          <w:lang w:eastAsia="en-US"/>
        </w:rPr>
      </w:pPr>
    </w:p>
    <w:p w14:paraId="7F5A3598">
      <w:pPr>
        <w:spacing w:line="480" w:lineRule="auto"/>
        <w:rPr>
          <w:rFonts w:ascii="Titillium Web" w:hAnsi="Titillium Web" w:eastAsia="Calibri" w:cs="Arial"/>
          <w:sz w:val="22"/>
          <w:szCs w:val="22"/>
          <w:lang w:eastAsia="en-US"/>
        </w:rPr>
      </w:pPr>
      <w:r>
        <w:rPr>
          <w:rFonts w:ascii="Titillium Web" w:hAnsi="Titillium Web" w:eastAsia="Calibri" w:cs="Arial"/>
          <w:sz w:val="22"/>
          <w:szCs w:val="22"/>
          <w:lang w:eastAsia="en-US"/>
        </w:rPr>
        <w:t xml:space="preserve">Nome  </w:t>
      </w:r>
      <w:r>
        <w:rPr>
          <w:rFonts w:ascii="Titillium Web" w:hAnsi="Titillium Web" w:eastAsia="Calibri" w:cs="Arial"/>
          <w:color w:val="A6A6A6"/>
          <w:lang w:eastAsia="en-US"/>
        </w:rPr>
        <w:t>............................................................................</w:t>
      </w:r>
      <w:r>
        <w:rPr>
          <w:rFonts w:ascii="Titillium Web" w:hAnsi="Titillium Web" w:eastAsia="Calibri" w:cs="Arial"/>
          <w:lang w:eastAsia="en-US"/>
        </w:rPr>
        <w:t xml:space="preserve"> </w:t>
      </w:r>
      <w:r>
        <w:rPr>
          <w:rFonts w:ascii="Titillium Web" w:hAnsi="Titillium Web" w:eastAsia="Calibri" w:cs="Arial"/>
          <w:sz w:val="22"/>
          <w:szCs w:val="22"/>
          <w:lang w:eastAsia="en-US"/>
        </w:rPr>
        <w:t xml:space="preserve">  Cognome </w:t>
      </w:r>
      <w:r>
        <w:rPr>
          <w:rFonts w:ascii="Titillium Web" w:hAnsi="Titillium Web" w:eastAsia="Calibri" w:cs="Arial"/>
          <w:color w:val="A6A6A6"/>
          <w:lang w:eastAsia="en-US"/>
        </w:rPr>
        <w:t>............................................................................</w:t>
      </w:r>
    </w:p>
    <w:p w14:paraId="42C713BC">
      <w:pPr>
        <w:spacing w:line="480" w:lineRule="auto"/>
        <w:rPr>
          <w:rFonts w:ascii="Titillium Web" w:hAnsi="Titillium Web" w:eastAsia="Calibri" w:cs="Arial"/>
          <w:sz w:val="22"/>
          <w:szCs w:val="22"/>
          <w:lang w:eastAsia="en-US"/>
        </w:rPr>
      </w:pPr>
      <w:r>
        <w:rPr>
          <w:rFonts w:ascii="Titillium Web" w:hAnsi="Titillium Web" w:eastAsia="Calibri" w:cs="Arial"/>
          <w:sz w:val="22"/>
          <w:szCs w:val="22"/>
          <w:lang w:eastAsia="en-US"/>
        </w:rPr>
        <w:t xml:space="preserve">Disciplina di insegnamento  </w:t>
      </w:r>
      <w:r>
        <w:rPr>
          <w:rFonts w:ascii="Titillium Web" w:hAnsi="Titillium Web" w:eastAsia="Calibri" w:cs="Arial"/>
          <w:color w:val="A6A6A6"/>
          <w:lang w:eastAsia="en-US"/>
        </w:rPr>
        <w:t>........................................................................................................................................</w:t>
      </w:r>
    </w:p>
    <w:p w14:paraId="6A4CF587">
      <w:pPr>
        <w:spacing w:line="276" w:lineRule="auto"/>
        <w:rPr>
          <w:rFonts w:ascii="Titillium Web" w:hAnsi="Titillium Web" w:eastAsia="Calibri" w:cs="Arial"/>
          <w:sz w:val="22"/>
          <w:szCs w:val="22"/>
          <w:lang w:eastAsia="en-US"/>
        </w:rPr>
      </w:pPr>
      <w:r>
        <w:rPr>
          <w:rFonts w:ascii="Titillium Web" w:hAnsi="Titillium Web" w:eastAsia="Calibri" w:cs="Arial"/>
          <w:sz w:val="22"/>
          <w:szCs w:val="22"/>
          <w:lang w:eastAsia="en-US"/>
        </w:rPr>
        <w:t xml:space="preserve">lstituto di appartenenza  </w:t>
      </w:r>
      <w:r>
        <w:rPr>
          <w:rFonts w:ascii="Titillium Web" w:hAnsi="Titillium Web" w:eastAsia="Calibri" w:cs="Arial"/>
          <w:color w:val="A6A6A6"/>
          <w:lang w:eastAsia="en-US"/>
        </w:rPr>
        <w:t>.............................................................................................................................................</w:t>
      </w:r>
    </w:p>
    <w:p w14:paraId="25741AE7">
      <w:pPr>
        <w:rPr>
          <w:rFonts w:ascii="Titillium Web" w:hAnsi="Titillium Web" w:eastAsia="Calibri" w:cs="Arial"/>
          <w:sz w:val="22"/>
          <w:szCs w:val="22"/>
          <w:lang w:eastAsia="en-US"/>
        </w:rPr>
      </w:pPr>
    </w:p>
    <w:p w14:paraId="7238E81B">
      <w:pPr>
        <w:rPr>
          <w:rFonts w:ascii="Titillium Web" w:hAnsi="Titillium Web" w:eastAsia="Calibri" w:cs="Arial"/>
          <w:sz w:val="22"/>
          <w:szCs w:val="22"/>
          <w:lang w:eastAsia="en-US"/>
        </w:rPr>
      </w:pPr>
      <w:r>
        <w:rPr>
          <w:rFonts w:ascii="Titillium Web" w:hAnsi="Titillium Web" w:eastAsia="Calibri" w:cs="Arial"/>
          <w:sz w:val="22"/>
          <w:szCs w:val="22"/>
          <w:lang w:eastAsia="en-US"/>
        </w:rPr>
        <w:t xml:space="preserve">Sede (città/regione) </w:t>
      </w:r>
      <w:r>
        <w:rPr>
          <w:rFonts w:ascii="Titillium Web" w:hAnsi="Titillium Web" w:eastAsia="Calibri" w:cs="Arial"/>
          <w:color w:val="A6A6A6"/>
          <w:lang w:eastAsia="en-US"/>
        </w:rPr>
        <w:t>.....................................................................................................................................................</w:t>
      </w:r>
    </w:p>
    <w:p w14:paraId="0C2D4BFF">
      <w:pPr>
        <w:keepNext/>
        <w:keepLines/>
        <w:spacing w:before="40" w:line="259" w:lineRule="auto"/>
        <w:jc w:val="center"/>
        <w:outlineLvl w:val="1"/>
        <w:rPr>
          <w:rFonts w:ascii="Titillium Web" w:hAnsi="Titillium Web" w:eastAsia="Times New Roman" w:cs="Times New Roman"/>
          <w:b/>
          <w:bCs/>
          <w:sz w:val="16"/>
          <w:szCs w:val="16"/>
          <w:lang w:eastAsia="en-US"/>
        </w:rPr>
      </w:pPr>
    </w:p>
    <w:p w14:paraId="40C9369A"/>
    <w:p w14:paraId="024077EF">
      <w:pPr>
        <w:keepNext/>
        <w:keepLines/>
        <w:spacing w:before="40" w:line="259" w:lineRule="auto"/>
        <w:jc w:val="center"/>
        <w:outlineLvl w:val="1"/>
        <w:rPr>
          <w:rFonts w:ascii="Titillium Web" w:hAnsi="Titillium Web" w:eastAsia="Times New Roman" w:cs="Calibri"/>
          <w:b/>
          <w:bCs/>
          <w:color w:val="595959"/>
          <w:sz w:val="28"/>
          <w:szCs w:val="28"/>
          <w:lang w:eastAsia="en-US"/>
        </w:rPr>
      </w:pPr>
      <w:r>
        <w:rPr>
          <w:rFonts w:ascii="Titillium Web" w:hAnsi="Titillium Web" w:eastAsia="Times New Roman" w:cs="Calibri"/>
          <w:b/>
          <w:bCs/>
          <w:color w:val="595959"/>
          <w:sz w:val="28"/>
          <w:szCs w:val="28"/>
          <w:lang w:eastAsia="en-US"/>
        </w:rPr>
        <w:t>Livelli di competenza</w:t>
      </w:r>
    </w:p>
    <w:p w14:paraId="7E45B1F6">
      <w:pPr>
        <w:spacing w:line="259" w:lineRule="auto"/>
        <w:jc w:val="center"/>
        <w:rPr>
          <w:rFonts w:ascii="Titillium Web" w:hAnsi="Titillium Web" w:eastAsia="Calibri" w:cs="Arial"/>
          <w:sz w:val="4"/>
          <w:szCs w:val="4"/>
          <w:lang w:eastAsia="en-US"/>
        </w:rPr>
      </w:pPr>
    </w:p>
    <w:p w14:paraId="52C915AB">
      <w:pPr>
        <w:spacing w:line="216" w:lineRule="auto"/>
        <w:jc w:val="both"/>
        <w:rPr>
          <w:rFonts w:ascii="Titillium Web" w:hAnsi="Titillium Web" w:eastAsia="Calibri" w:cs="Arial"/>
          <w:color w:val="000000"/>
          <w:sz w:val="19"/>
          <w:szCs w:val="19"/>
          <w:lang w:eastAsia="en-US"/>
        </w:rPr>
      </w:pPr>
      <w:r>
        <w:rPr>
          <w:rFonts w:ascii="Titillium Web" w:hAnsi="Titillium Web" w:eastAsia="Calibri" w:cs="Arial"/>
          <w:color w:val="000000"/>
          <w:sz w:val="19"/>
          <w:szCs w:val="19"/>
          <w:lang w:eastAsia="en-US"/>
        </w:rPr>
        <w:t>Ogni standard rappresenta la descrizione del livello ottimale atteso per ogni docente, sapendo che il criterio evolutivo è rappresentato dal passaggio da una situazione di esecuzione con supporto di tutoraggio ad una progressiva autonomia e padronanza, alla consapevolezza del proprio ‘stile professionale’, all’arricchimento creativo e personale, alla propensione/capacità di trasferire ad altri il proprio ‘sapere professionale’.</w:t>
      </w:r>
    </w:p>
    <w:p w14:paraId="07510FE0">
      <w:pPr>
        <w:spacing w:line="216" w:lineRule="auto"/>
        <w:jc w:val="both"/>
        <w:rPr>
          <w:rFonts w:ascii="Titillium Web" w:hAnsi="Titillium Web" w:eastAsia="Calibri" w:cs="Arial"/>
          <w:color w:val="000000"/>
          <w:sz w:val="19"/>
          <w:szCs w:val="19"/>
          <w:lang w:eastAsia="en-US"/>
        </w:rPr>
      </w:pPr>
      <w:r>
        <w:rPr>
          <w:rFonts w:ascii="Titillium Web" w:hAnsi="Titillium Web" w:eastAsia="Calibri" w:cs="Arial"/>
          <w:color w:val="000000"/>
          <w:sz w:val="19"/>
          <w:szCs w:val="19"/>
          <w:lang w:eastAsia="en-US"/>
        </w:rPr>
        <w:t xml:space="preserve">Per una migliore comprensione degli indicatori di competenza si rinvia alla consultazione della </w:t>
      </w:r>
      <w:r>
        <w:rPr>
          <w:rFonts w:ascii="Titillium Web" w:hAnsi="Titillium Web" w:eastAsia="Calibri" w:cs="Arial"/>
          <w:i/>
          <w:color w:val="000000"/>
          <w:sz w:val="19"/>
          <w:szCs w:val="19"/>
          <w:lang w:eastAsia="en-US"/>
        </w:rPr>
        <w:t>Legenda del Bilancio iniziale delle competenze</w:t>
      </w:r>
      <w:r>
        <w:rPr>
          <w:rFonts w:ascii="Titillium Web" w:hAnsi="Titillium Web" w:eastAsia="Calibri" w:cs="Arial"/>
          <w:color w:val="000000"/>
          <w:sz w:val="19"/>
          <w:szCs w:val="19"/>
          <w:lang w:eastAsia="en-US"/>
        </w:rPr>
        <w:t>, strumento allegato al presente documento, allegato nel quale sono fornite puntuali e dettagliate spiegazioni per ciascun indicatore; il documento può rivelarsi utile sussidio per una migliore autovalutazione dei livelli di competenza attesi.</w:t>
      </w:r>
    </w:p>
    <w:p w14:paraId="4BDAB42E">
      <w:pPr>
        <w:spacing w:line="259" w:lineRule="auto"/>
        <w:jc w:val="both"/>
        <w:rPr>
          <w:rFonts w:ascii="Arial" w:hAnsi="Arial" w:eastAsia="Calibri" w:cs="Arial"/>
          <w:lang w:eastAsia="en-US"/>
        </w:rPr>
      </w:pPr>
    </w:p>
    <w:tbl>
      <w:tblPr>
        <w:tblStyle w:val="12"/>
        <w:tblW w:w="0" w:type="auto"/>
        <w:jc w:val="center"/>
        <w:tblBorders>
          <w:top w:val="single" w:color="A6A6A6" w:sz="12" w:space="0"/>
          <w:left w:val="single" w:color="A6A6A6" w:sz="12" w:space="0"/>
          <w:bottom w:val="single" w:color="A6A6A6" w:sz="12" w:space="0"/>
          <w:right w:val="single" w:color="A6A6A6" w:sz="12" w:space="0"/>
          <w:insideH w:val="single" w:color="A6A6A6" w:sz="12" w:space="0"/>
          <w:insideV w:val="single" w:color="A6A6A6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6"/>
      </w:tblGrid>
      <w:tr w14:paraId="2A757369">
        <w:tblPrEx>
          <w:tblBorders>
            <w:top w:val="single" w:color="A6A6A6" w:sz="12" w:space="0"/>
            <w:left w:val="single" w:color="A6A6A6" w:sz="12" w:space="0"/>
            <w:bottom w:val="single" w:color="A6A6A6" w:sz="12" w:space="0"/>
            <w:right w:val="single" w:color="A6A6A6" w:sz="12" w:space="0"/>
            <w:insideH w:val="single" w:color="A6A6A6" w:sz="12" w:space="0"/>
            <w:insideV w:val="single" w:color="A6A6A6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46" w:type="dxa"/>
            <w:tcBorders>
              <w:top w:val="single" w:color="A5A5A5" w:themeColor="background1" w:themeShade="A6" w:sz="12" w:space="0"/>
              <w:left w:val="single" w:color="A5A5A5" w:themeColor="background1" w:themeShade="A6" w:sz="12" w:space="0"/>
              <w:bottom w:val="single" w:color="A5A5A5" w:themeColor="background1" w:themeShade="A6" w:sz="12" w:space="0"/>
              <w:right w:val="single" w:color="A5A5A5" w:themeColor="background1" w:themeShade="A6" w:sz="12" w:space="0"/>
            </w:tcBorders>
          </w:tcPr>
          <w:p w14:paraId="203F1E35">
            <w:pPr>
              <w:ind w:left="161"/>
              <w:jc w:val="center"/>
              <w:rPr>
                <w:rFonts w:ascii="Titillium Web" w:hAnsi="Titillium Web" w:eastAsia="Arial" w:cs="Arial"/>
                <w:b/>
                <w:bCs/>
                <w:sz w:val="4"/>
                <w:szCs w:val="4"/>
              </w:rPr>
            </w:pPr>
          </w:p>
          <w:p w14:paraId="30769466">
            <w:pPr>
              <w:ind w:left="161"/>
              <w:jc w:val="center"/>
              <w:rPr>
                <w:rFonts w:ascii="Titillium Web" w:hAnsi="Titillium Web" w:eastAsia="Arial" w:cs="Arial"/>
                <w:b/>
                <w:bCs/>
                <w:color w:val="595959"/>
                <w:sz w:val="19"/>
                <w:szCs w:val="19"/>
              </w:rPr>
            </w:pPr>
            <w:r>
              <w:rPr>
                <w:rFonts w:ascii="Titillium Web" w:hAnsi="Titillium Web" w:eastAsia="Arial" w:cs="Arial"/>
                <w:b/>
                <w:bCs/>
                <w:color w:val="595959"/>
                <w:sz w:val="19"/>
                <w:szCs w:val="19"/>
              </w:rPr>
              <w:t>Nessuna = Livello 0</w:t>
            </w:r>
          </w:p>
          <w:p w14:paraId="5027C8EC">
            <w:pPr>
              <w:ind w:left="161"/>
              <w:jc w:val="both"/>
              <w:rPr>
                <w:rFonts w:ascii="Titillium Web" w:hAnsi="Titillium Web" w:eastAsia="Arial" w:cs="Arial"/>
                <w:sz w:val="19"/>
                <w:szCs w:val="19"/>
              </w:rPr>
            </w:pPr>
            <w:r>
              <w:rPr>
                <w:rFonts w:ascii="Titillium Web" w:hAnsi="Titillium Web" w:eastAsia="Arial" w:cs="Arial"/>
                <w:sz w:val="19"/>
                <w:szCs w:val="19"/>
              </w:rPr>
              <w:t>La competenza non è stata mai sperimentata.</w:t>
            </w:r>
          </w:p>
          <w:p w14:paraId="2153E499">
            <w:pPr>
              <w:ind w:left="161"/>
              <w:jc w:val="center"/>
              <w:rPr>
                <w:rFonts w:ascii="Titillium Web" w:hAnsi="Titillium Web" w:eastAsia="Arial" w:cs="Arial"/>
                <w:b/>
                <w:bCs/>
                <w:sz w:val="4"/>
                <w:szCs w:val="4"/>
              </w:rPr>
            </w:pPr>
          </w:p>
        </w:tc>
      </w:tr>
      <w:tr w14:paraId="02BF01D8">
        <w:tblPrEx>
          <w:tblBorders>
            <w:top w:val="single" w:color="A6A6A6" w:sz="12" w:space="0"/>
            <w:left w:val="single" w:color="A6A6A6" w:sz="12" w:space="0"/>
            <w:bottom w:val="single" w:color="A6A6A6" w:sz="12" w:space="0"/>
            <w:right w:val="single" w:color="A6A6A6" w:sz="12" w:space="0"/>
            <w:insideH w:val="single" w:color="A6A6A6" w:sz="12" w:space="0"/>
            <w:insideV w:val="single" w:color="A6A6A6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46" w:type="dxa"/>
            <w:tcBorders>
              <w:top w:val="single" w:color="A5A5A5" w:themeColor="background1" w:themeShade="A6" w:sz="12" w:space="0"/>
            </w:tcBorders>
          </w:tcPr>
          <w:p w14:paraId="76D954F7">
            <w:pPr>
              <w:ind w:left="161"/>
              <w:jc w:val="center"/>
              <w:rPr>
                <w:rFonts w:ascii="Titillium Web" w:hAnsi="Titillium Web" w:eastAsia="Arial" w:cs="Arial"/>
                <w:b/>
                <w:bCs/>
                <w:sz w:val="4"/>
                <w:szCs w:val="4"/>
              </w:rPr>
            </w:pPr>
          </w:p>
          <w:p w14:paraId="0A9D6F0F">
            <w:pPr>
              <w:ind w:left="161"/>
              <w:jc w:val="center"/>
              <w:rPr>
                <w:rFonts w:ascii="Titillium Web" w:hAnsi="Titillium Web" w:eastAsia="Arial" w:cs="Arial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 w:eastAsia="Arial" w:cs="Arial"/>
                <w:b/>
                <w:bCs/>
                <w:color w:val="595959"/>
                <w:sz w:val="19"/>
                <w:szCs w:val="19"/>
              </w:rPr>
              <w:t>Iniziale = Livello 1</w:t>
            </w:r>
          </w:p>
          <w:p w14:paraId="54BA5882">
            <w:pPr>
              <w:ind w:left="161"/>
              <w:jc w:val="both"/>
              <w:rPr>
                <w:rFonts w:ascii="Titillium Web" w:hAnsi="Titillium Web" w:eastAsia="Arial" w:cs="Arial"/>
                <w:sz w:val="19"/>
                <w:szCs w:val="19"/>
              </w:rPr>
            </w:pPr>
            <w:r>
              <w:rPr>
                <w:rFonts w:ascii="Titillium Web" w:hAnsi="Titillium Web" w:eastAsia="Arial" w:cs="Arial"/>
                <w:sz w:val="19"/>
                <w:szCs w:val="19"/>
              </w:rPr>
              <w:t>La competenza è in fase di avvio del processo di acquisizione e di prima formazione.</w:t>
            </w:r>
          </w:p>
          <w:p w14:paraId="0BE246B3">
            <w:pPr>
              <w:ind w:left="161"/>
              <w:jc w:val="center"/>
              <w:rPr>
                <w:rFonts w:ascii="Titillium Web" w:hAnsi="Titillium Web" w:eastAsia="Arial" w:cs="Arial"/>
                <w:sz w:val="4"/>
                <w:szCs w:val="4"/>
              </w:rPr>
            </w:pPr>
          </w:p>
        </w:tc>
      </w:tr>
      <w:tr w14:paraId="29EC8E36">
        <w:tblPrEx>
          <w:tblBorders>
            <w:top w:val="single" w:color="A6A6A6" w:sz="12" w:space="0"/>
            <w:left w:val="single" w:color="A6A6A6" w:sz="12" w:space="0"/>
            <w:bottom w:val="single" w:color="A6A6A6" w:sz="12" w:space="0"/>
            <w:right w:val="single" w:color="A6A6A6" w:sz="12" w:space="0"/>
            <w:insideH w:val="single" w:color="A6A6A6" w:sz="12" w:space="0"/>
            <w:insideV w:val="single" w:color="A6A6A6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46" w:type="dxa"/>
          </w:tcPr>
          <w:p w14:paraId="74B67383">
            <w:pPr>
              <w:ind w:left="161"/>
              <w:jc w:val="center"/>
              <w:rPr>
                <w:rFonts w:ascii="Titillium Web" w:hAnsi="Titillium Web" w:eastAsia="Arial" w:cs="Arial"/>
                <w:b/>
                <w:bCs/>
                <w:sz w:val="4"/>
                <w:szCs w:val="4"/>
              </w:rPr>
            </w:pPr>
          </w:p>
          <w:p w14:paraId="167A63B4">
            <w:pPr>
              <w:ind w:left="161"/>
              <w:jc w:val="center"/>
              <w:rPr>
                <w:rFonts w:ascii="Titillium Web" w:hAnsi="Titillium Web" w:eastAsia="Arial" w:cs="Arial"/>
                <w:b/>
                <w:bCs/>
                <w:color w:val="595959"/>
                <w:sz w:val="19"/>
                <w:szCs w:val="19"/>
              </w:rPr>
            </w:pPr>
            <w:r>
              <w:rPr>
                <w:rFonts w:ascii="Titillium Web" w:hAnsi="Titillium Web" w:eastAsia="Arial" w:cs="Arial"/>
                <w:b/>
                <w:bCs/>
                <w:color w:val="595959"/>
                <w:sz w:val="19"/>
                <w:szCs w:val="19"/>
              </w:rPr>
              <w:t>In corso di formazione = Livello 2</w:t>
            </w:r>
          </w:p>
          <w:p w14:paraId="704FA536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 w:eastAsia="Arial" w:cs="Arial"/>
                <w:sz w:val="19"/>
                <w:szCs w:val="19"/>
              </w:rPr>
            </w:pPr>
            <w:r>
              <w:rPr>
                <w:rFonts w:ascii="Titillium Web" w:hAnsi="Titillium Web" w:eastAsia="Arial" w:cs="Arial"/>
                <w:sz w:val="19"/>
                <w:szCs w:val="19"/>
              </w:rPr>
              <w:t>La competenza è in via di consolidamento e in progressione verso gli standard attesi.</w:t>
            </w:r>
          </w:p>
          <w:p w14:paraId="3A820AFE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 w:eastAsia="Arial" w:cs="Arial"/>
                <w:sz w:val="4"/>
                <w:szCs w:val="4"/>
              </w:rPr>
            </w:pPr>
            <w:r>
              <w:rPr>
                <w:rFonts w:ascii="Titillium Web" w:hAnsi="Titillium Web" w:eastAsia="Arial" w:cs="Arial"/>
                <w:sz w:val="20"/>
                <w:szCs w:val="20"/>
              </w:rPr>
              <w:tab/>
            </w:r>
          </w:p>
        </w:tc>
      </w:tr>
      <w:tr w14:paraId="566AB31F">
        <w:tblPrEx>
          <w:tblBorders>
            <w:top w:val="single" w:color="A6A6A6" w:sz="12" w:space="0"/>
            <w:left w:val="single" w:color="A6A6A6" w:sz="12" w:space="0"/>
            <w:bottom w:val="single" w:color="A6A6A6" w:sz="12" w:space="0"/>
            <w:right w:val="single" w:color="A6A6A6" w:sz="12" w:space="0"/>
            <w:insideH w:val="single" w:color="A6A6A6" w:sz="12" w:space="0"/>
            <w:insideV w:val="single" w:color="A6A6A6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46" w:type="dxa"/>
            <w:tcBorders>
              <w:bottom w:val="single" w:color="A6A6A6" w:sz="12" w:space="0"/>
            </w:tcBorders>
          </w:tcPr>
          <w:p w14:paraId="73188295">
            <w:pPr>
              <w:ind w:left="161"/>
              <w:jc w:val="center"/>
              <w:rPr>
                <w:rFonts w:ascii="Titillium Web" w:hAnsi="Titillium Web" w:eastAsia="Arial" w:cs="Arial"/>
                <w:b/>
                <w:bCs/>
                <w:sz w:val="4"/>
                <w:szCs w:val="4"/>
              </w:rPr>
            </w:pPr>
          </w:p>
          <w:p w14:paraId="0E568D96">
            <w:pPr>
              <w:ind w:left="161"/>
              <w:jc w:val="center"/>
              <w:rPr>
                <w:rFonts w:ascii="Titillium Web" w:hAnsi="Titillium Web" w:eastAsia="Arial" w:cs="Arial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 w:eastAsia="Arial" w:cs="Arial"/>
                <w:b/>
                <w:bCs/>
                <w:color w:val="595959"/>
                <w:sz w:val="19"/>
                <w:szCs w:val="19"/>
              </w:rPr>
              <w:t>Standard atteso = Livello 3</w:t>
            </w:r>
          </w:p>
          <w:p w14:paraId="298265EC">
            <w:pPr>
              <w:ind w:left="161"/>
              <w:jc w:val="both"/>
              <w:rPr>
                <w:rFonts w:ascii="Titillium Web" w:hAnsi="Titillium Web" w:eastAsia="Arial" w:cs="Arial"/>
                <w:sz w:val="19"/>
                <w:szCs w:val="19"/>
              </w:rPr>
            </w:pPr>
            <w:r>
              <w:rPr>
                <w:rFonts w:ascii="Titillium Web" w:hAnsi="Titillium Web" w:eastAsia="Arial" w:cs="Arial"/>
                <w:sz w:val="19"/>
                <w:szCs w:val="19"/>
              </w:rPr>
              <w:t>La competenza è consolidata, consapevole e sicura.</w:t>
            </w:r>
          </w:p>
          <w:p w14:paraId="0A8CCB94">
            <w:pPr>
              <w:ind w:left="161"/>
              <w:jc w:val="both"/>
              <w:rPr>
                <w:rFonts w:ascii="Titillium Web" w:hAnsi="Titillium Web" w:eastAsia="Arial" w:cs="Arial"/>
                <w:sz w:val="4"/>
                <w:szCs w:val="4"/>
              </w:rPr>
            </w:pPr>
          </w:p>
        </w:tc>
      </w:tr>
      <w:tr w14:paraId="188DB2D4">
        <w:tblPrEx>
          <w:tblBorders>
            <w:top w:val="single" w:color="A6A6A6" w:sz="12" w:space="0"/>
            <w:left w:val="single" w:color="A6A6A6" w:sz="12" w:space="0"/>
            <w:bottom w:val="single" w:color="A6A6A6" w:sz="12" w:space="0"/>
            <w:right w:val="single" w:color="A6A6A6" w:sz="12" w:space="0"/>
            <w:insideH w:val="single" w:color="A6A6A6" w:sz="12" w:space="0"/>
            <w:insideV w:val="single" w:color="A6A6A6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46" w:type="dxa"/>
            <w:tcBorders>
              <w:bottom w:val="single" w:color="A6A6A6" w:sz="12" w:space="0"/>
            </w:tcBorders>
          </w:tcPr>
          <w:p w14:paraId="56669B9B">
            <w:pPr>
              <w:ind w:left="161"/>
              <w:jc w:val="center"/>
              <w:rPr>
                <w:rFonts w:ascii="Titillium Web" w:hAnsi="Titillium Web" w:eastAsia="Arial" w:cs="Arial"/>
                <w:b/>
                <w:bCs/>
                <w:sz w:val="4"/>
                <w:szCs w:val="4"/>
              </w:rPr>
            </w:pPr>
          </w:p>
          <w:p w14:paraId="396C6000">
            <w:pPr>
              <w:ind w:left="161"/>
              <w:jc w:val="center"/>
              <w:rPr>
                <w:rFonts w:ascii="Titillium Web" w:hAnsi="Titillium Web" w:eastAsia="Arial" w:cs="Arial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 w:eastAsia="Arial" w:cs="Arial"/>
                <w:b/>
                <w:bCs/>
                <w:color w:val="595959"/>
                <w:sz w:val="19"/>
                <w:szCs w:val="19"/>
              </w:rPr>
              <w:t>Esperto = Livello 4</w:t>
            </w:r>
          </w:p>
          <w:p w14:paraId="0DABBFE9">
            <w:pPr>
              <w:ind w:left="161"/>
              <w:jc w:val="both"/>
              <w:rPr>
                <w:rFonts w:ascii="Titillium Web" w:hAnsi="Titillium Web" w:eastAsia="Arial" w:cs="Arial"/>
                <w:sz w:val="19"/>
                <w:szCs w:val="19"/>
              </w:rPr>
            </w:pPr>
            <w:r>
              <w:rPr>
                <w:rFonts w:ascii="Titillium Web" w:hAnsi="Titillium Web" w:eastAsia="Arial" w:cs="Arial"/>
                <w:sz w:val="19"/>
                <w:szCs w:val="19"/>
              </w:rPr>
              <w:t>La competenza è matura e accreditata e può essere messa a disposizione dei/delle colleghi/e e della scuola.</w:t>
            </w:r>
          </w:p>
          <w:p w14:paraId="10EE144E">
            <w:pPr>
              <w:ind w:left="161"/>
              <w:jc w:val="center"/>
              <w:rPr>
                <w:rFonts w:ascii="Titillium Web" w:hAnsi="Titillium Web" w:eastAsia="Arial" w:cs="Arial"/>
                <w:b/>
                <w:bCs/>
                <w:sz w:val="4"/>
                <w:szCs w:val="4"/>
              </w:rPr>
            </w:pPr>
          </w:p>
        </w:tc>
      </w:tr>
    </w:tbl>
    <w:p w14:paraId="0F12353A"/>
    <w:p w14:paraId="11D57BF8"/>
    <w:tbl>
      <w:tblPr>
        <w:tblStyle w:val="12"/>
        <w:tblW w:w="9781" w:type="dxa"/>
        <w:tblInd w:w="108" w:type="dxa"/>
        <w:tblBorders>
          <w:top w:val="single" w:color="A6A6A6" w:sz="12" w:space="0"/>
          <w:left w:val="single" w:color="A6A6A6" w:sz="12" w:space="0"/>
          <w:bottom w:val="single" w:color="A6A6A6" w:sz="12" w:space="0"/>
          <w:right w:val="single" w:color="A6A6A6" w:sz="12" w:space="0"/>
          <w:insideH w:val="single" w:color="A6A6A6" w:sz="12" w:space="0"/>
          <w:insideV w:val="single" w:color="A6A6A6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3"/>
        <w:gridCol w:w="5328"/>
        <w:gridCol w:w="2100"/>
      </w:tblGrid>
      <w:tr w14:paraId="4BD030F0">
        <w:tblPrEx>
          <w:tblBorders>
            <w:top w:val="single" w:color="A6A6A6" w:sz="12" w:space="0"/>
            <w:left w:val="single" w:color="A6A6A6" w:sz="12" w:space="0"/>
            <w:bottom w:val="single" w:color="A6A6A6" w:sz="12" w:space="0"/>
            <w:right w:val="single" w:color="A6A6A6" w:sz="12" w:space="0"/>
            <w:insideH w:val="single" w:color="A6A6A6" w:sz="12" w:space="0"/>
            <w:insideV w:val="single" w:color="A6A6A6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81" w:type="dxa"/>
            <w:gridSpan w:val="3"/>
            <w:shd w:val="clear" w:color="auto" w:fill="95B3D7" w:themeFill="accent1" w:themeFillTint="99"/>
          </w:tcPr>
          <w:p w14:paraId="46018201">
            <w:pPr>
              <w:ind w:left="-113" w:right="-119"/>
              <w:jc w:val="center"/>
              <w:rPr>
                <w:rFonts w:ascii="Titillium Web" w:hAnsi="Titillium Web" w:eastAsia="Arial" w:cs="Arial"/>
                <w:b/>
                <w:color w:val="000000"/>
                <w:sz w:val="12"/>
                <w:szCs w:val="12"/>
              </w:rPr>
            </w:pPr>
          </w:p>
          <w:p w14:paraId="42E540F2">
            <w:pPr>
              <w:ind w:left="-113" w:right="-119"/>
              <w:jc w:val="center"/>
              <w:rPr>
                <w:rFonts w:ascii="Titillium Web" w:hAnsi="Titillium Web" w:eastAsia="Arial" w:cs="Arial"/>
                <w:b/>
                <w:color w:val="595959"/>
                <w:sz w:val="28"/>
                <w:szCs w:val="28"/>
              </w:rPr>
            </w:pPr>
            <w:r>
              <w:rPr>
                <w:rFonts w:ascii="Titillium Web" w:hAnsi="Titillium Web" w:eastAsia="Arial" w:cs="Arial"/>
                <w:b/>
                <w:color w:val="595959"/>
                <w:sz w:val="28"/>
                <w:szCs w:val="28"/>
              </w:rPr>
              <w:t>A - DIDATTICA</w:t>
            </w:r>
          </w:p>
          <w:p w14:paraId="6FF962EC">
            <w:pPr>
              <w:ind w:left="-113" w:right="-119"/>
              <w:jc w:val="center"/>
              <w:rPr>
                <w:rFonts w:ascii="Titillium Web" w:hAnsi="Titillium Web" w:eastAsia="Arial" w:cs="Arial"/>
                <w:b/>
                <w:i/>
                <w:color w:val="595959"/>
                <w:sz w:val="20"/>
                <w:szCs w:val="20"/>
              </w:rPr>
            </w:pPr>
            <w:r>
              <w:rPr>
                <w:rFonts w:ascii="Titillium Web" w:hAnsi="Titillium Web" w:eastAsia="Arial" w:cs="Arial"/>
                <w:b/>
                <w:i/>
                <w:color w:val="595959"/>
                <w:sz w:val="20"/>
                <w:szCs w:val="20"/>
              </w:rPr>
              <w:t>Area delle competenze didattiche, metodologiche e relazionali</w:t>
            </w:r>
          </w:p>
          <w:p w14:paraId="4D54DDDC">
            <w:pPr>
              <w:ind w:left="-113" w:right="-119"/>
              <w:jc w:val="center"/>
              <w:rPr>
                <w:rFonts w:ascii="Titillium Web" w:hAnsi="Titillium Web" w:eastAsia="Arial" w:cs="Arial"/>
                <w:color w:val="000000"/>
                <w:sz w:val="12"/>
                <w:szCs w:val="12"/>
              </w:rPr>
            </w:pPr>
          </w:p>
        </w:tc>
      </w:tr>
      <w:tr w14:paraId="2541A900">
        <w:tblPrEx>
          <w:tblBorders>
            <w:top w:val="single" w:color="A6A6A6" w:sz="12" w:space="0"/>
            <w:left w:val="single" w:color="A6A6A6" w:sz="12" w:space="0"/>
            <w:bottom w:val="single" w:color="A6A6A6" w:sz="12" w:space="0"/>
            <w:right w:val="single" w:color="A6A6A6" w:sz="12" w:space="0"/>
            <w:insideH w:val="single" w:color="A6A6A6" w:sz="12" w:space="0"/>
            <w:insideV w:val="single" w:color="A6A6A6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3" w:type="dxa"/>
            <w:tcBorders>
              <w:bottom w:val="single" w:color="A5A5A5" w:themeColor="background1" w:themeShade="A6" w:sz="12" w:space="0"/>
            </w:tcBorders>
            <w:vAlign w:val="center"/>
          </w:tcPr>
          <w:p w14:paraId="0CF2563C">
            <w:pPr>
              <w:ind w:left="-113" w:right="-119"/>
              <w:jc w:val="center"/>
              <w:rPr>
                <w:rFonts w:ascii="Titillium Web" w:hAnsi="Titillium Web" w:eastAsia="Arial" w:cs="Arial"/>
                <w:i/>
                <w:color w:val="000000"/>
                <w:lang w:val="en-US"/>
              </w:rPr>
            </w:pPr>
            <w:r>
              <w:rPr>
                <w:rFonts w:ascii="Titillium Web" w:hAnsi="Titillium Web" w:eastAsia="Arial" w:cs="Arial"/>
                <w:i/>
                <w:color w:val="000000"/>
                <w:lang w:val="en-US"/>
              </w:rPr>
              <w:t>Standard minimi</w:t>
            </w:r>
          </w:p>
        </w:tc>
        <w:tc>
          <w:tcPr>
            <w:tcW w:w="5328" w:type="dxa"/>
            <w:vAlign w:val="center"/>
          </w:tcPr>
          <w:p w14:paraId="47E2F69E">
            <w:pPr>
              <w:ind w:left="-113" w:right="-119"/>
              <w:jc w:val="center"/>
              <w:rPr>
                <w:rFonts w:ascii="Titillium Web" w:hAnsi="Titillium Web" w:eastAsia="Arial" w:cs="Arial"/>
                <w:i/>
                <w:color w:val="000000"/>
                <w:lang w:val="en-US"/>
              </w:rPr>
            </w:pPr>
            <w:r>
              <w:rPr>
                <w:rFonts w:ascii="Titillium Web" w:hAnsi="Titillium Web" w:eastAsia="Arial" w:cs="Arial"/>
                <w:i/>
                <w:color w:val="000000"/>
                <w:lang w:val="en-US"/>
              </w:rPr>
              <w:t>Indicatori delle competenze professionali</w:t>
            </w:r>
          </w:p>
        </w:tc>
        <w:tc>
          <w:tcPr>
            <w:tcW w:w="2100" w:type="dxa"/>
            <w:vAlign w:val="center"/>
          </w:tcPr>
          <w:p w14:paraId="691BD56D">
            <w:pPr>
              <w:spacing w:line="216" w:lineRule="auto"/>
              <w:ind w:left="-113" w:right="-119"/>
              <w:jc w:val="center"/>
              <w:rPr>
                <w:rFonts w:ascii="Titillium Web" w:hAnsi="Titillium Web" w:eastAsia="Arial" w:cs="Arial"/>
                <w:color w:val="000000"/>
                <w:sz w:val="6"/>
                <w:szCs w:val="6"/>
                <w:lang w:val="en-US"/>
              </w:rPr>
            </w:pPr>
          </w:p>
          <w:p w14:paraId="6BD7A21E">
            <w:pPr>
              <w:spacing w:line="216" w:lineRule="auto"/>
              <w:ind w:left="-113" w:right="-119"/>
              <w:jc w:val="center"/>
              <w:rPr>
                <w:rFonts w:ascii="Titillium Web" w:hAnsi="Titillium Web" w:eastAsia="Arial" w:cs="Arial"/>
                <w:i/>
                <w:color w:val="000000"/>
                <w:sz w:val="22"/>
                <w:szCs w:val="22"/>
                <w:lang w:val="en-US"/>
              </w:rPr>
            </w:pPr>
            <w:r>
              <w:rPr>
                <w:rFonts w:ascii="Titillium Web" w:hAnsi="Titillium Web" w:eastAsia="Arial" w:cs="Arial"/>
                <w:i/>
                <w:color w:val="000000"/>
                <w:sz w:val="22"/>
                <w:szCs w:val="22"/>
                <w:lang w:val="en-US"/>
              </w:rPr>
              <w:t>Posizionamento</w:t>
            </w:r>
          </w:p>
          <w:p w14:paraId="4A734BD7">
            <w:pPr>
              <w:spacing w:line="216" w:lineRule="auto"/>
              <w:ind w:left="-113" w:right="-119"/>
              <w:jc w:val="center"/>
              <w:rPr>
                <w:rFonts w:ascii="Titillium Web" w:hAnsi="Titillium Web" w:eastAsia="Arial" w:cs="Arial"/>
                <w:i/>
                <w:color w:val="000000"/>
                <w:sz w:val="22"/>
                <w:szCs w:val="22"/>
                <w:lang w:val="en-US"/>
              </w:rPr>
            </w:pPr>
            <w:r>
              <w:rPr>
                <w:rFonts w:ascii="Titillium Web" w:hAnsi="Titillium Web" w:eastAsia="Arial" w:cs="Arial"/>
                <w:i/>
                <w:color w:val="000000"/>
                <w:sz w:val="22"/>
                <w:szCs w:val="22"/>
                <w:lang w:val="en-US"/>
              </w:rPr>
              <w:t>livello</w:t>
            </w:r>
          </w:p>
          <w:p w14:paraId="44314328">
            <w:pPr>
              <w:spacing w:line="216" w:lineRule="auto"/>
              <w:ind w:left="-113" w:right="-119"/>
              <w:jc w:val="center"/>
              <w:rPr>
                <w:rFonts w:ascii="Titillium Web" w:hAnsi="Titillium Web" w:eastAsia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Titillium Web" w:hAnsi="Titillium Web" w:eastAsia="Arial" w:cs="Arial"/>
                <w:color w:val="000000"/>
                <w:sz w:val="20"/>
                <w:szCs w:val="20"/>
                <w:lang w:val="en-US"/>
              </w:rPr>
              <w:t xml:space="preserve">(scala:  0 </w:t>
            </w:r>
            <w:r>
              <w:rPr>
                <w:rFonts w:ascii="Titillium Web" w:hAnsi="Titillium Web" w:eastAsia="Arial" w:cs="Arial"/>
                <w:color w:val="808080" w:themeColor="background1" w:themeShade="80"/>
                <w:sz w:val="20"/>
                <w:szCs w:val="20"/>
                <w:lang w:val="en-US"/>
              </w:rPr>
              <w:t>-</w:t>
            </w:r>
            <w:r>
              <w:rPr>
                <w:rFonts w:ascii="Titillium Web" w:hAnsi="Titillium Web" w:eastAsia="Arial" w:cs="Arial"/>
                <w:color w:val="000000"/>
                <w:sz w:val="20"/>
                <w:szCs w:val="20"/>
                <w:lang w:val="en-US"/>
              </w:rPr>
              <w:t xml:space="preserve"> 1 </w:t>
            </w:r>
            <w:r>
              <w:rPr>
                <w:rFonts w:ascii="Titillium Web" w:hAnsi="Titillium Web" w:eastAsia="Arial" w:cs="Arial"/>
                <w:color w:val="A6A6A6" w:themeColor="background1" w:themeShade="A6"/>
                <w:sz w:val="20"/>
                <w:szCs w:val="20"/>
                <w:lang w:val="en-US"/>
              </w:rPr>
              <w:t>-</w:t>
            </w:r>
            <w:r>
              <w:rPr>
                <w:rFonts w:ascii="Titillium Web" w:hAnsi="Titillium Web" w:eastAsia="Arial" w:cs="Arial"/>
                <w:color w:val="000000"/>
                <w:sz w:val="20"/>
                <w:szCs w:val="20"/>
                <w:lang w:val="en-US"/>
              </w:rPr>
              <w:t xml:space="preserve"> 2 </w:t>
            </w:r>
            <w:r>
              <w:rPr>
                <w:rFonts w:ascii="Titillium Web" w:hAnsi="Titillium Web" w:eastAsia="Arial" w:cs="Arial"/>
                <w:color w:val="A6A6A6" w:themeColor="background1" w:themeShade="A6"/>
                <w:sz w:val="20"/>
                <w:szCs w:val="20"/>
                <w:lang w:val="en-US"/>
              </w:rPr>
              <w:t>-</w:t>
            </w:r>
            <w:r>
              <w:rPr>
                <w:rFonts w:ascii="Titillium Web" w:hAnsi="Titillium Web" w:eastAsia="Arial" w:cs="Arial"/>
                <w:color w:val="000000"/>
                <w:sz w:val="20"/>
                <w:szCs w:val="20"/>
                <w:lang w:val="en-US"/>
              </w:rPr>
              <w:t xml:space="preserve"> 3 </w:t>
            </w:r>
            <w:r>
              <w:rPr>
                <w:rFonts w:ascii="Titillium Web" w:hAnsi="Titillium Web" w:eastAsia="Arial" w:cs="Arial"/>
                <w:color w:val="A6A6A6" w:themeColor="background1" w:themeShade="A6"/>
                <w:sz w:val="20"/>
                <w:szCs w:val="20"/>
                <w:lang w:val="en-US"/>
              </w:rPr>
              <w:t>-</w:t>
            </w:r>
            <w:r>
              <w:rPr>
                <w:rFonts w:ascii="Titillium Web" w:hAnsi="Titillium Web" w:eastAsia="Arial" w:cs="Arial"/>
                <w:color w:val="000000"/>
                <w:sz w:val="20"/>
                <w:szCs w:val="20"/>
                <w:lang w:val="en-US"/>
              </w:rPr>
              <w:t xml:space="preserve"> 4)</w:t>
            </w:r>
          </w:p>
          <w:p w14:paraId="30EA3D62">
            <w:pPr>
              <w:spacing w:line="216" w:lineRule="auto"/>
              <w:ind w:left="-113" w:right="-119"/>
              <w:jc w:val="center"/>
              <w:rPr>
                <w:rFonts w:ascii="Titillium Web" w:hAnsi="Titillium Web" w:eastAsia="Arial" w:cs="Arial"/>
                <w:color w:val="000000"/>
                <w:sz w:val="6"/>
                <w:szCs w:val="6"/>
                <w:lang w:val="en-US"/>
              </w:rPr>
            </w:pPr>
          </w:p>
        </w:tc>
      </w:tr>
      <w:tr w14:paraId="45AA9626">
        <w:tblPrEx>
          <w:tblBorders>
            <w:top w:val="single" w:color="A6A6A6" w:sz="12" w:space="0"/>
            <w:left w:val="single" w:color="A6A6A6" w:sz="12" w:space="0"/>
            <w:bottom w:val="single" w:color="A6A6A6" w:sz="12" w:space="0"/>
            <w:right w:val="single" w:color="A6A6A6" w:sz="12" w:space="0"/>
            <w:insideH w:val="single" w:color="A6A6A6" w:sz="12" w:space="0"/>
            <w:insideV w:val="single" w:color="A6A6A6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62FD3B04">
            <w:pPr>
              <w:spacing w:line="180" w:lineRule="auto"/>
              <w:jc w:val="center"/>
              <w:rPr>
                <w:rFonts w:ascii="Titillium Web" w:hAnsi="Titillium Web" w:eastAsia="Arial" w:cs="Arial"/>
                <w:b/>
                <w:color w:val="000000"/>
                <w:sz w:val="20"/>
                <w:szCs w:val="20"/>
              </w:rPr>
            </w:pPr>
          </w:p>
          <w:p w14:paraId="27CDF660">
            <w:pPr>
              <w:spacing w:line="180" w:lineRule="auto"/>
              <w:jc w:val="center"/>
              <w:rPr>
                <w:rFonts w:ascii="Titillium Web" w:hAnsi="Titillium Web" w:eastAsia="Arial" w:cs="Arial"/>
                <w:b/>
                <w:color w:val="17375E" w:themeColor="text2" w:themeShade="BF"/>
                <w:sz w:val="20"/>
                <w:szCs w:val="20"/>
              </w:rPr>
            </w:pPr>
            <w:r>
              <w:rPr>
                <w:rFonts w:ascii="Titillium Web" w:hAnsi="Titillium Web" w:eastAsia="Arial" w:cs="Arial"/>
                <w:b/>
                <w:color w:val="17375E" w:themeColor="text2" w:themeShade="BF"/>
                <w:sz w:val="20"/>
                <w:szCs w:val="20"/>
              </w:rPr>
              <w:t>Standard minimo</w:t>
            </w:r>
          </w:p>
          <w:p w14:paraId="23718643">
            <w:pPr>
              <w:spacing w:line="180" w:lineRule="auto"/>
              <w:jc w:val="center"/>
              <w:rPr>
                <w:rFonts w:ascii="Titillium Web" w:hAnsi="Titillium Web" w:eastAsia="Arial" w:cs="Arial"/>
                <w:b/>
                <w:color w:val="17375E" w:themeColor="text2" w:themeShade="BF"/>
                <w:sz w:val="40"/>
                <w:szCs w:val="40"/>
              </w:rPr>
            </w:pPr>
            <w:r>
              <w:rPr>
                <w:rFonts w:ascii="Titillium Web" w:hAnsi="Titillium Web" w:eastAsia="Arial" w:cs="Arial"/>
                <w:b/>
                <w:color w:val="17375E" w:themeColor="text2" w:themeShade="BF"/>
                <w:sz w:val="40"/>
                <w:szCs w:val="40"/>
              </w:rPr>
              <w:t>1</w:t>
            </w:r>
          </w:p>
          <w:p w14:paraId="55387375">
            <w:pPr>
              <w:spacing w:line="216" w:lineRule="auto"/>
              <w:jc w:val="center"/>
              <w:rPr>
                <w:rFonts w:ascii="Titillium Web" w:hAnsi="Titillium Web" w:eastAsia="Arial" w:cs="Arial"/>
                <w:b/>
                <w:color w:val="595959"/>
                <w:sz w:val="8"/>
                <w:szCs w:val="8"/>
              </w:rPr>
            </w:pPr>
          </w:p>
          <w:p w14:paraId="71B23567">
            <w:pPr>
              <w:spacing w:line="216" w:lineRule="auto"/>
              <w:jc w:val="center"/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</w:pPr>
            <w:r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  <w:t>Progettare e gestire situazioni</w:t>
            </w:r>
          </w:p>
          <w:p w14:paraId="5CB7B1D1">
            <w:pPr>
              <w:spacing w:line="216" w:lineRule="auto"/>
              <w:jc w:val="center"/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</w:pPr>
            <w:r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  <w:t>di apprendimento</w:t>
            </w:r>
          </w:p>
          <w:p w14:paraId="0E2D9371">
            <w:pPr>
              <w:spacing w:line="216" w:lineRule="auto"/>
              <w:jc w:val="center"/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</w:pPr>
            <w:r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  <w:t>che promuovano le otto competenze chiave europee per un apprendimento permanente, trasformando l’insegnamento</w:t>
            </w:r>
          </w:p>
          <w:p w14:paraId="057E1AD7">
            <w:pPr>
              <w:spacing w:line="216" w:lineRule="auto"/>
              <w:jc w:val="center"/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</w:pPr>
            <w:r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  <w:t>in esperienze significative e critiche, anche attraverso l’utilizzo di strumenti digitali e didattici</w:t>
            </w:r>
          </w:p>
          <w:p w14:paraId="51D853D7">
            <w:pPr>
              <w:spacing w:line="216" w:lineRule="auto"/>
              <w:jc w:val="center"/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</w:pPr>
            <w:r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  <w:t>in presenza e a distanza, e utilizzando strumenti di lavoro</w:t>
            </w:r>
          </w:p>
          <w:p w14:paraId="73153F9C">
            <w:pPr>
              <w:spacing w:line="216" w:lineRule="auto"/>
              <w:jc w:val="center"/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</w:pPr>
            <w:r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  <w:t>per documentare, valutare e certificare</w:t>
            </w:r>
          </w:p>
          <w:p w14:paraId="11364214">
            <w:pPr>
              <w:spacing w:line="216" w:lineRule="auto"/>
              <w:jc w:val="center"/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</w:pPr>
            <w:r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  <w:t>le competenze personali di studenti</w:t>
            </w:r>
          </w:p>
          <w:p w14:paraId="6991BD39">
            <w:pPr>
              <w:spacing w:line="216" w:lineRule="auto"/>
              <w:jc w:val="center"/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</w:pPr>
            <w:r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  <w:t>e studentesse, anche</w:t>
            </w:r>
          </w:p>
          <w:p w14:paraId="17152A3F">
            <w:pPr>
              <w:spacing w:line="216" w:lineRule="auto"/>
              <w:jc w:val="center"/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</w:pPr>
            <w:r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  <w:t>in prospettiva orientativa</w:t>
            </w:r>
          </w:p>
          <w:p w14:paraId="22027400">
            <w:pPr>
              <w:spacing w:line="216" w:lineRule="auto"/>
              <w:jc w:val="center"/>
              <w:rPr>
                <w:rFonts w:ascii="Titillium Web" w:hAnsi="Titillium Web" w:eastAsia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328" w:type="dxa"/>
            <w:vAlign w:val="center"/>
          </w:tcPr>
          <w:p w14:paraId="5328F7EB">
            <w:pPr>
              <w:spacing w:line="216" w:lineRule="auto"/>
              <w:ind w:left="28" w:right="28"/>
              <w:rPr>
                <w:rFonts w:ascii="Titillium Web" w:hAnsi="Titillium Web" w:eastAsia="Arial" w:cs="Arial"/>
                <w:color w:val="000000" w:themeColor="text1"/>
                <w:sz w:val="8"/>
                <w:szCs w:val="8"/>
                <w14:textFill>
                  <w14:solidFill>
                    <w14:schemeClr w14:val="tx1"/>
                  </w14:solidFill>
                </w14:textFill>
              </w:rPr>
            </w:pPr>
          </w:p>
          <w:p w14:paraId="65BBDCFE">
            <w:pPr>
              <w:spacing w:line="192" w:lineRule="auto"/>
              <w:ind w:left="28" w:right="28"/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Progettare percorsi di apprendimento in coerenza con le indicazioni ministeriali e con i traguardi delle competenze previsti dal curricolo d’Istituto facendo particolare attenzione all’individualizzazione e alla personalizzazione dei percorsi.</w:t>
            </w:r>
          </w:p>
          <w:p w14:paraId="7319E851">
            <w:pPr>
              <w:spacing w:line="192" w:lineRule="auto"/>
              <w:ind w:left="28" w:right="26"/>
              <w:jc w:val="both"/>
              <w:rPr>
                <w:rFonts w:ascii="Titillium Web" w:hAnsi="Titillium Web" w:eastAsia="Arial" w:cs="Arial"/>
                <w:color w:val="000000" w:themeColor="text1"/>
                <w:sz w:val="8"/>
                <w:szCs w:val="8"/>
                <w:shd w:val="clear" w:color="auto" w:fill="D9E1F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0" w:type="dxa"/>
            <w:vAlign w:val="center"/>
          </w:tcPr>
          <w:p w14:paraId="43F268C8">
            <w:pPr>
              <w:jc w:val="center"/>
              <w:rPr>
                <w:rFonts w:ascii="Titillium Web" w:hAnsi="Titillium Web" w:eastAsia="Arial" w:cs="Arial"/>
                <w:color w:val="000000"/>
                <w:sz w:val="20"/>
                <w:szCs w:val="20"/>
                <w:shd w:val="clear" w:color="auto" w:fill="D9E1F2"/>
              </w:rPr>
            </w:pPr>
          </w:p>
        </w:tc>
      </w:tr>
      <w:tr w14:paraId="2C4AC5B1">
        <w:tblPrEx>
          <w:tblBorders>
            <w:top w:val="single" w:color="A6A6A6" w:sz="12" w:space="0"/>
            <w:left w:val="single" w:color="A6A6A6" w:sz="12" w:space="0"/>
            <w:bottom w:val="single" w:color="A6A6A6" w:sz="12" w:space="0"/>
            <w:right w:val="single" w:color="A6A6A6" w:sz="12" w:space="0"/>
            <w:insideH w:val="single" w:color="A6A6A6" w:sz="12" w:space="0"/>
            <w:insideV w:val="single" w:color="A6A6A6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3" w:type="dxa"/>
            <w:vMerge w:val="continue"/>
            <w:shd w:val="clear" w:color="auto" w:fill="B8CCE4" w:themeFill="accent1" w:themeFillTint="66"/>
            <w:vAlign w:val="center"/>
          </w:tcPr>
          <w:p w14:paraId="3C4F134F">
            <w:pPr>
              <w:spacing w:line="18" w:lineRule="atLeast"/>
              <w:jc w:val="center"/>
              <w:rPr>
                <w:rFonts w:ascii="Titillium Web" w:hAnsi="Titillium Web" w:eastAsia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328" w:type="dxa"/>
            <w:vAlign w:val="center"/>
          </w:tcPr>
          <w:p w14:paraId="40A49FEE">
            <w:pPr>
              <w:spacing w:line="216" w:lineRule="auto"/>
              <w:rPr>
                <w:rFonts w:ascii="Titillium Web" w:hAnsi="Titillium Web" w:eastAsia="Arial" w:cs="Arial"/>
                <w:color w:val="000000" w:themeColor="text1"/>
                <w:sz w:val="8"/>
                <w:szCs w:val="8"/>
                <w14:textFill>
                  <w14:solidFill>
                    <w14:schemeClr w14:val="tx1"/>
                  </w14:solidFill>
                </w14:textFill>
              </w:rPr>
            </w:pPr>
          </w:p>
          <w:p w14:paraId="06984C53">
            <w:pPr>
              <w:spacing w:line="216" w:lineRule="auto"/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Integrare nella progettazione didattica i traguardi di competenza previsti dalla normativa per l’Educazione civica.</w:t>
            </w:r>
          </w:p>
          <w:p w14:paraId="1BB4BDFB">
            <w:pPr>
              <w:spacing w:line="216" w:lineRule="auto"/>
              <w:rPr>
                <w:rFonts w:ascii="Titillium Web" w:hAnsi="Titillium Web" w:eastAsia="Arial" w:cs="Arial"/>
                <w:color w:val="000000" w:themeColor="text1"/>
                <w:sz w:val="8"/>
                <w:szCs w:val="8"/>
                <w:shd w:val="clear" w:color="auto" w:fill="D9E1F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0" w:type="dxa"/>
            <w:vAlign w:val="center"/>
          </w:tcPr>
          <w:p w14:paraId="7FE91800">
            <w:pPr>
              <w:spacing w:line="18" w:lineRule="atLeast"/>
              <w:jc w:val="center"/>
              <w:rPr>
                <w:rFonts w:ascii="Titillium Web" w:hAnsi="Titillium Web" w:eastAsia="Arial" w:cs="Arial"/>
                <w:color w:val="000000"/>
                <w:sz w:val="20"/>
                <w:szCs w:val="20"/>
                <w:shd w:val="clear" w:color="auto" w:fill="D9E1F2"/>
              </w:rPr>
            </w:pPr>
          </w:p>
        </w:tc>
      </w:tr>
      <w:tr w14:paraId="2ACAA409">
        <w:tblPrEx>
          <w:tblBorders>
            <w:top w:val="single" w:color="A6A6A6" w:sz="12" w:space="0"/>
            <w:left w:val="single" w:color="A6A6A6" w:sz="12" w:space="0"/>
            <w:bottom w:val="single" w:color="A6A6A6" w:sz="12" w:space="0"/>
            <w:right w:val="single" w:color="A6A6A6" w:sz="12" w:space="0"/>
            <w:insideH w:val="single" w:color="A6A6A6" w:sz="12" w:space="0"/>
            <w:insideV w:val="single" w:color="A6A6A6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3" w:type="dxa"/>
            <w:vMerge w:val="continue"/>
            <w:shd w:val="clear" w:color="auto" w:fill="B8CCE4" w:themeFill="accent1" w:themeFillTint="66"/>
            <w:vAlign w:val="center"/>
          </w:tcPr>
          <w:p w14:paraId="4B8EDD5C">
            <w:pPr>
              <w:spacing w:line="18" w:lineRule="atLeast"/>
              <w:jc w:val="center"/>
              <w:rPr>
                <w:rFonts w:ascii="Titillium Web" w:hAnsi="Titillium Web" w:eastAsia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328" w:type="dxa"/>
            <w:vAlign w:val="center"/>
          </w:tcPr>
          <w:p w14:paraId="42CEE5E4">
            <w:pPr>
              <w:rPr>
                <w:rFonts w:ascii="Titillium Web" w:hAnsi="Titillium Web" w:eastAsia="Arial" w:cs="Arial"/>
                <w:color w:val="000000" w:themeColor="text1"/>
                <w:sz w:val="8"/>
                <w:szCs w:val="8"/>
                <w14:textFill>
                  <w14:solidFill>
                    <w14:schemeClr w14:val="tx1"/>
                  </w14:solidFill>
                </w14:textFill>
              </w:rPr>
            </w:pPr>
          </w:p>
          <w:p w14:paraId="16564302">
            <w:pPr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Pianificare ed organizzare attività di orientamento formative.</w:t>
            </w:r>
          </w:p>
          <w:p w14:paraId="06555BC7">
            <w:pPr>
              <w:rPr>
                <w:rFonts w:ascii="Titillium Web" w:hAnsi="Titillium Web" w:eastAsia="Arial" w:cs="Arial"/>
                <w:color w:val="000000" w:themeColor="text1"/>
                <w:sz w:val="8"/>
                <w:szCs w:val="8"/>
                <w:shd w:val="clear" w:color="auto" w:fill="D9E1F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0" w:type="dxa"/>
            <w:vAlign w:val="center"/>
          </w:tcPr>
          <w:p w14:paraId="13AE8FAD">
            <w:pPr>
              <w:spacing w:line="18" w:lineRule="atLeast"/>
              <w:jc w:val="center"/>
              <w:rPr>
                <w:rFonts w:ascii="Titillium Web" w:hAnsi="Titillium Web" w:eastAsia="Arial" w:cs="Arial"/>
                <w:color w:val="000000"/>
                <w:sz w:val="20"/>
                <w:szCs w:val="20"/>
                <w:shd w:val="clear" w:color="auto" w:fill="D9E1F2"/>
              </w:rPr>
            </w:pPr>
          </w:p>
        </w:tc>
      </w:tr>
      <w:tr w14:paraId="56813DCB">
        <w:tblPrEx>
          <w:tblBorders>
            <w:top w:val="single" w:color="A6A6A6" w:sz="12" w:space="0"/>
            <w:left w:val="single" w:color="A6A6A6" w:sz="12" w:space="0"/>
            <w:bottom w:val="single" w:color="A6A6A6" w:sz="12" w:space="0"/>
            <w:right w:val="single" w:color="A6A6A6" w:sz="12" w:space="0"/>
            <w:insideH w:val="single" w:color="A6A6A6" w:sz="12" w:space="0"/>
            <w:insideV w:val="single" w:color="A6A6A6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3" w:type="dxa"/>
            <w:vMerge w:val="continue"/>
            <w:shd w:val="clear" w:color="auto" w:fill="B8CCE4" w:themeFill="accent1" w:themeFillTint="66"/>
            <w:vAlign w:val="center"/>
          </w:tcPr>
          <w:p w14:paraId="3B03ABFC">
            <w:pPr>
              <w:spacing w:line="18" w:lineRule="atLeast"/>
              <w:jc w:val="center"/>
              <w:rPr>
                <w:rFonts w:ascii="Titillium Web" w:hAnsi="Titillium Web" w:eastAsia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328" w:type="dxa"/>
            <w:vAlign w:val="center"/>
          </w:tcPr>
          <w:p w14:paraId="16E9BDAA">
            <w:pPr>
              <w:spacing w:line="216" w:lineRule="auto"/>
              <w:rPr>
                <w:rFonts w:ascii="Titillium Web" w:hAnsi="Titillium Web" w:eastAsia="Arial" w:cs="Arial"/>
                <w:color w:val="000000"/>
                <w:sz w:val="8"/>
                <w:szCs w:val="8"/>
              </w:rPr>
            </w:pPr>
          </w:p>
          <w:p w14:paraId="201DD171">
            <w:pPr>
              <w:spacing w:line="192" w:lineRule="auto"/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Individualizzare e/o personalizzare i percorsi di apprendimento a seconda dei diversi bisogni di studenti e studentesse adattando l’insegnamento e le attività in funzione delle differenze individuali e delle diverse modalità di apprendimento e degli obiettivi di apprendimento raggiunti dal gruppo-classe.</w:t>
            </w:r>
          </w:p>
          <w:p w14:paraId="32F895BF">
            <w:pPr>
              <w:spacing w:line="216" w:lineRule="auto"/>
              <w:rPr>
                <w:rFonts w:ascii="Titillium Web" w:hAnsi="Titillium Web" w:eastAsia="Arial" w:cs="Arial"/>
                <w:color w:val="000000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59594FC">
            <w:pPr>
              <w:spacing w:line="18" w:lineRule="atLeast"/>
              <w:jc w:val="center"/>
              <w:rPr>
                <w:rFonts w:ascii="Titillium Web" w:hAnsi="Titillium Web" w:eastAsia="Arial" w:cs="Arial"/>
                <w:color w:val="000000"/>
                <w:sz w:val="20"/>
                <w:szCs w:val="20"/>
                <w:shd w:val="clear" w:color="auto" w:fill="D9E1F2"/>
              </w:rPr>
            </w:pPr>
          </w:p>
        </w:tc>
      </w:tr>
      <w:tr w14:paraId="5A84718C">
        <w:tblPrEx>
          <w:tblBorders>
            <w:top w:val="single" w:color="A6A6A6" w:sz="12" w:space="0"/>
            <w:left w:val="single" w:color="A6A6A6" w:sz="12" w:space="0"/>
            <w:bottom w:val="single" w:color="A6A6A6" w:sz="12" w:space="0"/>
            <w:right w:val="single" w:color="A6A6A6" w:sz="12" w:space="0"/>
            <w:insideH w:val="single" w:color="A6A6A6" w:sz="12" w:space="0"/>
            <w:insideV w:val="single" w:color="A6A6A6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3" w:type="dxa"/>
            <w:vMerge w:val="continue"/>
            <w:shd w:val="clear" w:color="auto" w:fill="B8CCE4" w:themeFill="accent1" w:themeFillTint="66"/>
            <w:vAlign w:val="center"/>
          </w:tcPr>
          <w:p w14:paraId="372C8211">
            <w:pPr>
              <w:spacing w:line="18" w:lineRule="atLeast"/>
              <w:jc w:val="center"/>
              <w:rPr>
                <w:rFonts w:ascii="Titillium Web" w:hAnsi="Titillium Web" w:eastAsia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328" w:type="dxa"/>
            <w:vAlign w:val="center"/>
          </w:tcPr>
          <w:p w14:paraId="4186A08A">
            <w:pPr>
              <w:spacing w:line="192" w:lineRule="auto"/>
              <w:rPr>
                <w:rFonts w:ascii="Titillium Web" w:hAnsi="Titillium Web" w:eastAsia="Arial" w:cs="Arial"/>
                <w:color w:val="000000"/>
                <w:sz w:val="8"/>
                <w:szCs w:val="8"/>
              </w:rPr>
            </w:pPr>
          </w:p>
          <w:p w14:paraId="64C9AA38">
            <w:pPr>
              <w:spacing w:line="192" w:lineRule="auto"/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Attuare l’insegnamento seguendo un piano organizzato e strutturato che associ contenuti a relativi obiettivi di apprendimento.</w:t>
            </w:r>
          </w:p>
          <w:p w14:paraId="27940940">
            <w:pPr>
              <w:spacing w:line="192" w:lineRule="auto"/>
              <w:rPr>
                <w:rFonts w:ascii="Titillium Web" w:hAnsi="Titillium Web" w:eastAsia="Arial" w:cs="Arial"/>
                <w:color w:val="000000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7533AD18">
            <w:pPr>
              <w:spacing w:line="18" w:lineRule="atLeast"/>
              <w:jc w:val="center"/>
              <w:rPr>
                <w:rFonts w:ascii="Titillium Web" w:hAnsi="Titillium Web" w:eastAsia="Arial" w:cs="Arial"/>
                <w:color w:val="000000"/>
                <w:sz w:val="20"/>
                <w:szCs w:val="20"/>
                <w:shd w:val="clear" w:color="auto" w:fill="D9E1F2"/>
              </w:rPr>
            </w:pPr>
          </w:p>
        </w:tc>
      </w:tr>
      <w:tr w14:paraId="0852AD56">
        <w:tblPrEx>
          <w:tblBorders>
            <w:top w:val="single" w:color="A6A6A6" w:sz="12" w:space="0"/>
            <w:left w:val="single" w:color="A6A6A6" w:sz="12" w:space="0"/>
            <w:bottom w:val="single" w:color="A6A6A6" w:sz="12" w:space="0"/>
            <w:right w:val="single" w:color="A6A6A6" w:sz="12" w:space="0"/>
            <w:insideH w:val="single" w:color="A6A6A6" w:sz="12" w:space="0"/>
            <w:insideV w:val="single" w:color="A6A6A6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2353" w:type="dxa"/>
            <w:vMerge w:val="continue"/>
            <w:shd w:val="clear" w:color="auto" w:fill="B8CCE4" w:themeFill="accent1" w:themeFillTint="66"/>
            <w:vAlign w:val="center"/>
          </w:tcPr>
          <w:p w14:paraId="2604DD34">
            <w:pPr>
              <w:spacing w:line="18" w:lineRule="atLeast"/>
              <w:jc w:val="center"/>
              <w:rPr>
                <w:rFonts w:ascii="Titillium Web" w:hAnsi="Titillium Web" w:eastAsia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328" w:type="dxa"/>
          </w:tcPr>
          <w:p w14:paraId="23A6E976">
            <w:pPr>
              <w:spacing w:line="16" w:lineRule="atLeast"/>
              <w:rPr>
                <w:rFonts w:ascii="Titillium Web" w:hAnsi="Titillium Web" w:eastAsia="Arial" w:cs="Arial"/>
                <w:color w:val="000000"/>
                <w:sz w:val="8"/>
                <w:szCs w:val="8"/>
              </w:rPr>
            </w:pPr>
          </w:p>
          <w:p w14:paraId="555717FA">
            <w:pPr>
              <w:spacing w:line="192" w:lineRule="auto"/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Gestire i tempi di svolgimento di un’attività di apprendimento e il passaggio tra un’attività e un’altra. </w:t>
            </w:r>
          </w:p>
          <w:p w14:paraId="093FAFEF">
            <w:pPr>
              <w:spacing w:line="192" w:lineRule="auto"/>
              <w:rPr>
                <w:rFonts w:ascii="Titillium Web" w:hAnsi="Titillium Web" w:eastAsia="Arial" w:cs="Arial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B4D1CB1">
            <w:pPr>
              <w:spacing w:line="16" w:lineRule="atLeast"/>
              <w:jc w:val="center"/>
              <w:rPr>
                <w:rFonts w:ascii="Titillium Web" w:hAnsi="Titillium Web" w:eastAsia="Arial" w:cs="Arial"/>
                <w:color w:val="000000"/>
                <w:sz w:val="20"/>
                <w:szCs w:val="20"/>
                <w:shd w:val="clear" w:color="auto" w:fill="D9E1F2"/>
              </w:rPr>
            </w:pPr>
          </w:p>
        </w:tc>
      </w:tr>
      <w:tr w14:paraId="1A290200">
        <w:tblPrEx>
          <w:tblBorders>
            <w:top w:val="single" w:color="A6A6A6" w:sz="12" w:space="0"/>
            <w:left w:val="single" w:color="A6A6A6" w:sz="12" w:space="0"/>
            <w:bottom w:val="single" w:color="A6A6A6" w:sz="12" w:space="0"/>
            <w:right w:val="single" w:color="A6A6A6" w:sz="12" w:space="0"/>
            <w:insideH w:val="single" w:color="A6A6A6" w:sz="12" w:space="0"/>
            <w:insideV w:val="single" w:color="A6A6A6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3" w:type="dxa"/>
            <w:vMerge w:val="continue"/>
            <w:tcBorders>
              <w:bottom w:val="single" w:color="A5A5A5" w:themeColor="background1" w:themeShade="A6" w:sz="12" w:space="0"/>
            </w:tcBorders>
            <w:shd w:val="clear" w:color="auto" w:fill="B8CCE4" w:themeFill="accent1" w:themeFillTint="66"/>
            <w:vAlign w:val="center"/>
          </w:tcPr>
          <w:p w14:paraId="66D0799B">
            <w:pPr>
              <w:spacing w:line="18" w:lineRule="atLeast"/>
              <w:jc w:val="center"/>
              <w:rPr>
                <w:rFonts w:ascii="Titillium Web" w:hAnsi="Titillium Web" w:eastAsia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328" w:type="dxa"/>
          </w:tcPr>
          <w:p w14:paraId="66D62671">
            <w:pPr>
              <w:spacing w:line="192" w:lineRule="auto"/>
              <w:rPr>
                <w:rFonts w:ascii="Titillium Web" w:hAnsi="Titillium Web" w:eastAsia="Arial" w:cs="Arial"/>
                <w:color w:val="000000"/>
                <w:sz w:val="12"/>
                <w:szCs w:val="12"/>
              </w:rPr>
            </w:pPr>
          </w:p>
          <w:p w14:paraId="408DB5E9">
            <w:pPr>
              <w:spacing w:line="192" w:lineRule="auto"/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Utilizzare mediatori didattici</w:t>
            </w:r>
            <w:r>
              <w:rPr>
                <w:rStyle w:val="4"/>
                <w:rFonts w:ascii="Titillium Web" w:hAnsi="Titillium Web" w:eastAsia="Arial" w:cs="Arial"/>
                <w:b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endnoteReference w:id="0"/>
            </w:r>
            <w:r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, tecnologie digitali, ambienti virtuali e approcci innovativi come strumenti compensativi quali azioni/strumenti di supporto all’insegnamento e alle attività didattiche.</w:t>
            </w:r>
          </w:p>
          <w:p w14:paraId="178884F6">
            <w:pPr>
              <w:spacing w:line="192" w:lineRule="auto"/>
              <w:rPr>
                <w:rFonts w:ascii="Titillium Web" w:hAnsi="Titillium Web" w:eastAsia="Arial" w:cs="Arial"/>
                <w:color w:val="000000"/>
                <w:sz w:val="12"/>
                <w:szCs w:val="12"/>
              </w:rPr>
            </w:pPr>
          </w:p>
        </w:tc>
        <w:tc>
          <w:tcPr>
            <w:tcW w:w="2100" w:type="dxa"/>
          </w:tcPr>
          <w:p w14:paraId="6B61989F">
            <w:pPr>
              <w:spacing w:line="18" w:lineRule="atLeast"/>
              <w:jc w:val="center"/>
              <w:rPr>
                <w:rFonts w:ascii="Titillium Web" w:hAnsi="Titillium Web" w:eastAsia="Arial" w:cs="Arial"/>
                <w:color w:val="000000"/>
                <w:sz w:val="20"/>
                <w:szCs w:val="20"/>
                <w:shd w:val="clear" w:color="auto" w:fill="D9E1F2"/>
              </w:rPr>
            </w:pPr>
          </w:p>
        </w:tc>
      </w:tr>
      <w:tr w14:paraId="39128C02">
        <w:tblPrEx>
          <w:tblBorders>
            <w:top w:val="single" w:color="A6A6A6" w:sz="12" w:space="0"/>
            <w:left w:val="single" w:color="A6A6A6" w:sz="12" w:space="0"/>
            <w:bottom w:val="single" w:color="A6A6A6" w:sz="12" w:space="0"/>
            <w:right w:val="single" w:color="A6A6A6" w:sz="12" w:space="0"/>
            <w:insideH w:val="single" w:color="A6A6A6" w:sz="12" w:space="0"/>
            <w:insideV w:val="single" w:color="A6A6A6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323E85C1">
            <w:pPr>
              <w:spacing w:line="180" w:lineRule="auto"/>
              <w:jc w:val="center"/>
              <w:rPr>
                <w:rFonts w:ascii="Titillium Web" w:hAnsi="Titillium Web" w:eastAsia="Arial" w:cs="Arial"/>
                <w:b/>
                <w:color w:val="7030A0"/>
                <w:sz w:val="20"/>
                <w:szCs w:val="20"/>
              </w:rPr>
            </w:pPr>
          </w:p>
          <w:p w14:paraId="239E0918">
            <w:pPr>
              <w:spacing w:line="180" w:lineRule="auto"/>
              <w:jc w:val="center"/>
              <w:rPr>
                <w:rFonts w:ascii="Titillium Web" w:hAnsi="Titillium Web" w:eastAsia="Arial" w:cs="Arial"/>
                <w:b/>
                <w:color w:val="17375E" w:themeColor="text2" w:themeShade="BF"/>
                <w:sz w:val="20"/>
                <w:szCs w:val="20"/>
              </w:rPr>
            </w:pPr>
            <w:r>
              <w:rPr>
                <w:rFonts w:ascii="Titillium Web" w:hAnsi="Titillium Web" w:eastAsia="Arial" w:cs="Arial"/>
                <w:b/>
                <w:color w:val="17375E" w:themeColor="text2" w:themeShade="BF"/>
                <w:sz w:val="20"/>
                <w:szCs w:val="20"/>
              </w:rPr>
              <w:t>Standard minimo</w:t>
            </w:r>
          </w:p>
          <w:p w14:paraId="00CF983E">
            <w:pPr>
              <w:spacing w:line="180" w:lineRule="auto"/>
              <w:jc w:val="center"/>
              <w:rPr>
                <w:rFonts w:ascii="Titillium Web" w:hAnsi="Titillium Web" w:eastAsia="Arial" w:cs="Arial"/>
                <w:b/>
                <w:color w:val="7030A0"/>
                <w:sz w:val="40"/>
                <w:szCs w:val="40"/>
              </w:rPr>
            </w:pPr>
            <w:r>
              <w:rPr>
                <w:rFonts w:ascii="Titillium Web" w:hAnsi="Titillium Web" w:eastAsia="Arial" w:cs="Arial"/>
                <w:b/>
                <w:color w:val="17375E" w:themeColor="text2" w:themeShade="BF"/>
                <w:sz w:val="40"/>
                <w:szCs w:val="40"/>
              </w:rPr>
              <w:t>2</w:t>
            </w:r>
          </w:p>
          <w:p w14:paraId="371030AE">
            <w:pPr>
              <w:spacing w:line="216" w:lineRule="auto"/>
              <w:jc w:val="center"/>
              <w:rPr>
                <w:rFonts w:ascii="Titillium Web" w:hAnsi="Titillium Web" w:eastAsia="Arial" w:cs="Arial"/>
                <w:color w:val="595959"/>
                <w:sz w:val="8"/>
                <w:szCs w:val="8"/>
              </w:rPr>
            </w:pPr>
          </w:p>
          <w:p w14:paraId="032858DC">
            <w:pPr>
              <w:spacing w:line="216" w:lineRule="auto"/>
              <w:jc w:val="center"/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</w:pPr>
            <w:r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  <w:t>Adottare e adattare strategie e metodi didattici, compresi quelli personalizzati</w:t>
            </w:r>
          </w:p>
          <w:p w14:paraId="3DE5A01A">
            <w:pPr>
              <w:spacing w:line="216" w:lineRule="auto"/>
              <w:jc w:val="center"/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</w:pPr>
            <w:r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  <w:t>per l’inclusione</w:t>
            </w:r>
          </w:p>
          <w:p w14:paraId="2D3BD76C">
            <w:pPr>
              <w:spacing w:line="216" w:lineRule="auto"/>
              <w:jc w:val="center"/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</w:pPr>
            <w:r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  <w:t>di studenti</w:t>
            </w:r>
          </w:p>
          <w:p w14:paraId="6BC409C5">
            <w:pPr>
              <w:spacing w:line="216" w:lineRule="auto"/>
              <w:jc w:val="center"/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</w:pPr>
            <w:r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  <w:t>e studentesse</w:t>
            </w:r>
          </w:p>
          <w:p w14:paraId="5AB7CBF7">
            <w:pPr>
              <w:spacing w:line="216" w:lineRule="auto"/>
              <w:jc w:val="center"/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</w:pPr>
            <w:r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  <w:t>con disabilità e bisogni educativi speciali, integrando epistemologie</w:t>
            </w:r>
          </w:p>
          <w:p w14:paraId="5818B73E">
            <w:pPr>
              <w:spacing w:line="216" w:lineRule="auto"/>
              <w:jc w:val="center"/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</w:pPr>
            <w:r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  <w:t>e metodologie disciplinari</w:t>
            </w:r>
          </w:p>
          <w:p w14:paraId="473AB0AC">
            <w:pPr>
              <w:spacing w:line="216" w:lineRule="auto"/>
              <w:jc w:val="center"/>
              <w:rPr>
                <w:rFonts w:ascii="Titillium Web" w:hAnsi="Titillium Web" w:eastAsia="Arial" w:cs="Arial"/>
                <w:b/>
                <w:color w:val="000000"/>
                <w:sz w:val="10"/>
                <w:szCs w:val="10"/>
                <w:lang w:val="en-US"/>
              </w:rPr>
            </w:pPr>
            <w:r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  <w:t>e interdisciplinari</w:t>
            </w:r>
          </w:p>
          <w:p w14:paraId="31988695">
            <w:pPr>
              <w:rPr>
                <w:rFonts w:ascii="Arial" w:hAnsi="Arial" w:eastAsia="Arial" w:cs="Arial"/>
                <w:sz w:val="28"/>
                <w:szCs w:val="28"/>
                <w:lang w:val="en-US"/>
              </w:rPr>
            </w:pPr>
          </w:p>
        </w:tc>
        <w:tc>
          <w:tcPr>
            <w:tcW w:w="5328" w:type="dxa"/>
            <w:vAlign w:val="center"/>
          </w:tcPr>
          <w:p w14:paraId="436FE2A3">
            <w:pPr>
              <w:spacing w:line="216" w:lineRule="auto"/>
              <w:rPr>
                <w:rFonts w:ascii="Titillium Web" w:hAnsi="Titillium Web" w:eastAsia="Arial" w:cs="Arial"/>
                <w:color w:val="000000" w:themeColor="text1"/>
                <w:sz w:val="8"/>
                <w:szCs w:val="8"/>
                <w14:textFill>
                  <w14:solidFill>
                    <w14:schemeClr w14:val="tx1"/>
                  </w14:solidFill>
                </w14:textFill>
              </w:rPr>
            </w:pPr>
          </w:p>
          <w:p w14:paraId="36565F42">
            <w:pPr>
              <w:spacing w:line="192" w:lineRule="auto"/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Organizzare ambienti e spazi di apprendimento finalizzati all’implementazione di strategie per l’individualizzazione e la personalizzazione dei percorsi di apprendimento sia per far emergere i diversi talenti di studenti e studentesse sia per favorire l’inclusione di studenti e studentesse con BES, DSA o disabilità.</w:t>
            </w:r>
          </w:p>
          <w:p w14:paraId="2A912ADD">
            <w:pPr>
              <w:spacing w:line="216" w:lineRule="auto"/>
              <w:rPr>
                <w:rFonts w:ascii="Titillium Web" w:hAnsi="Titillium Web" w:eastAsia="Arial" w:cs="Arial"/>
                <w:color w:val="000000" w:themeColor="text1"/>
                <w:sz w:val="12"/>
                <w:szCs w:val="12"/>
                <w:shd w:val="clear" w:color="auto" w:fill="D9E1F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0" w:type="dxa"/>
            <w:vAlign w:val="center"/>
          </w:tcPr>
          <w:p w14:paraId="1E26297E">
            <w:pPr>
              <w:jc w:val="center"/>
              <w:rPr>
                <w:rFonts w:ascii="Titillium Web" w:hAnsi="Titillium Web" w:eastAsia="Arial" w:cs="Arial"/>
                <w:color w:val="000000"/>
                <w:sz w:val="20"/>
                <w:szCs w:val="20"/>
                <w:shd w:val="clear" w:color="auto" w:fill="D9E1F2"/>
              </w:rPr>
            </w:pPr>
          </w:p>
        </w:tc>
      </w:tr>
      <w:tr w14:paraId="376ADD1A">
        <w:tblPrEx>
          <w:tblBorders>
            <w:top w:val="single" w:color="A6A6A6" w:sz="12" w:space="0"/>
            <w:left w:val="single" w:color="A6A6A6" w:sz="12" w:space="0"/>
            <w:bottom w:val="single" w:color="A6A6A6" w:sz="12" w:space="0"/>
            <w:right w:val="single" w:color="A6A6A6" w:sz="12" w:space="0"/>
            <w:insideH w:val="single" w:color="A6A6A6" w:sz="12" w:space="0"/>
            <w:insideV w:val="single" w:color="A6A6A6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2353" w:type="dxa"/>
            <w:vMerge w:val="continue"/>
            <w:shd w:val="clear" w:color="auto" w:fill="B8CCE4" w:themeFill="accent1" w:themeFillTint="66"/>
            <w:vAlign w:val="center"/>
          </w:tcPr>
          <w:p w14:paraId="1791FC46">
            <w:pPr>
              <w:jc w:val="center"/>
              <w:rPr>
                <w:rFonts w:ascii="Titillium Web" w:hAnsi="Titillium Web" w:eastAsia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328" w:type="dxa"/>
          </w:tcPr>
          <w:p w14:paraId="5687D136">
            <w:pPr>
              <w:spacing w:line="216" w:lineRule="auto"/>
              <w:rPr>
                <w:rFonts w:ascii="Titillium Web" w:hAnsi="Titillium Web" w:eastAsia="Arial" w:cs="Arial"/>
                <w:color w:val="000000" w:themeColor="text1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</w:p>
          <w:p w14:paraId="3371DEE8">
            <w:pPr>
              <w:spacing w:line="192" w:lineRule="auto"/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Alternare e variare i dispositivi e i materiali didattici all’interno del percorso didattico delle singole unità di apprendimento.</w:t>
            </w:r>
          </w:p>
          <w:p w14:paraId="32813F67">
            <w:pPr>
              <w:spacing w:line="216" w:lineRule="auto"/>
              <w:rPr>
                <w:rFonts w:ascii="Titillium Web" w:hAnsi="Titillium Web" w:eastAsia="Arial" w:cs="Arial"/>
                <w:color w:val="000000" w:themeColor="text1"/>
                <w:sz w:val="12"/>
                <w:szCs w:val="12"/>
                <w:shd w:val="clear" w:color="auto" w:fill="D9E1F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0" w:type="dxa"/>
          </w:tcPr>
          <w:p w14:paraId="236A1315">
            <w:pPr>
              <w:jc w:val="center"/>
              <w:rPr>
                <w:rFonts w:ascii="Titillium Web" w:hAnsi="Titillium Web" w:eastAsia="Arial" w:cs="Arial"/>
                <w:color w:val="000000"/>
                <w:sz w:val="20"/>
                <w:szCs w:val="20"/>
                <w:shd w:val="clear" w:color="auto" w:fill="D9E1F2"/>
              </w:rPr>
            </w:pPr>
          </w:p>
        </w:tc>
      </w:tr>
      <w:tr w14:paraId="33BB36BC">
        <w:tblPrEx>
          <w:tblBorders>
            <w:top w:val="single" w:color="A6A6A6" w:sz="12" w:space="0"/>
            <w:left w:val="single" w:color="A6A6A6" w:sz="12" w:space="0"/>
            <w:bottom w:val="single" w:color="A6A6A6" w:sz="12" w:space="0"/>
            <w:right w:val="single" w:color="A6A6A6" w:sz="12" w:space="0"/>
            <w:insideH w:val="single" w:color="A6A6A6" w:sz="12" w:space="0"/>
            <w:insideV w:val="single" w:color="A6A6A6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2353" w:type="dxa"/>
            <w:vMerge w:val="continue"/>
            <w:shd w:val="clear" w:color="auto" w:fill="B8CCE4" w:themeFill="accent1" w:themeFillTint="66"/>
            <w:vAlign w:val="center"/>
          </w:tcPr>
          <w:p w14:paraId="19B10B6F">
            <w:pPr>
              <w:jc w:val="center"/>
              <w:rPr>
                <w:rFonts w:ascii="Titillium Web" w:hAnsi="Titillium Web" w:eastAsia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328" w:type="dxa"/>
          </w:tcPr>
          <w:p w14:paraId="381064C3">
            <w:pPr>
              <w:spacing w:line="216" w:lineRule="auto"/>
              <w:rPr>
                <w:rFonts w:ascii="Titillium Web" w:hAnsi="Titillium Web" w:eastAsia="Arial" w:cs="Arial"/>
                <w:color w:val="000000" w:themeColor="text1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</w:p>
          <w:p w14:paraId="67F65299">
            <w:pPr>
              <w:spacing w:line="192" w:lineRule="auto"/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Monitorare </w:t>
            </w:r>
            <w:r>
              <w:rPr>
                <w:rFonts w:ascii="Titillium Web" w:hAnsi="Titillium Web" w:eastAsia="Arial" w:cs="Arial"/>
                <w:i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in itinere</w:t>
            </w:r>
            <w:r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, revisionare e riprogettare le attività didattiche.</w:t>
            </w:r>
          </w:p>
          <w:p w14:paraId="6FCB958A">
            <w:pPr>
              <w:spacing w:line="216" w:lineRule="auto"/>
              <w:rPr>
                <w:rFonts w:ascii="Titillium Web" w:hAnsi="Titillium Web" w:eastAsia="Arial" w:cs="Arial"/>
                <w:color w:val="000000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7034C6CA">
            <w:pPr>
              <w:jc w:val="center"/>
              <w:rPr>
                <w:rFonts w:ascii="Titillium Web" w:hAnsi="Titillium Web" w:eastAsia="Arial" w:cs="Arial"/>
                <w:color w:val="000000"/>
                <w:sz w:val="20"/>
                <w:szCs w:val="20"/>
                <w:shd w:val="clear" w:color="auto" w:fill="D9E1F2"/>
              </w:rPr>
            </w:pPr>
          </w:p>
        </w:tc>
      </w:tr>
      <w:tr w14:paraId="2965C304">
        <w:tblPrEx>
          <w:tblBorders>
            <w:top w:val="single" w:color="A6A6A6" w:sz="12" w:space="0"/>
            <w:left w:val="single" w:color="A6A6A6" w:sz="12" w:space="0"/>
            <w:bottom w:val="single" w:color="A6A6A6" w:sz="12" w:space="0"/>
            <w:right w:val="single" w:color="A6A6A6" w:sz="12" w:space="0"/>
            <w:insideH w:val="single" w:color="A6A6A6" w:sz="12" w:space="0"/>
            <w:insideV w:val="single" w:color="A6A6A6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" w:hRule="atLeast"/>
        </w:trPr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302F8DCF">
            <w:pPr>
              <w:spacing w:line="180" w:lineRule="auto"/>
              <w:jc w:val="center"/>
              <w:rPr>
                <w:rFonts w:ascii="Titillium Web" w:hAnsi="Titillium Web" w:eastAsia="Arial" w:cs="Arial"/>
                <w:b/>
                <w:color w:val="17375E" w:themeColor="text2" w:themeShade="BF"/>
                <w:sz w:val="10"/>
                <w:szCs w:val="10"/>
              </w:rPr>
            </w:pPr>
            <w:r>
              <w:rPr>
                <w:rFonts w:ascii="Titillium Web" w:hAnsi="Titillium Web" w:eastAsia="Arial" w:cs="Arial"/>
                <w:b/>
                <w:color w:val="17375E" w:themeColor="text2" w:themeShade="BF"/>
                <w:sz w:val="20"/>
                <w:szCs w:val="20"/>
              </w:rPr>
              <w:t>Standard minimo</w:t>
            </w:r>
          </w:p>
          <w:p w14:paraId="2B600AED">
            <w:pPr>
              <w:spacing w:line="180" w:lineRule="auto"/>
              <w:jc w:val="center"/>
              <w:rPr>
                <w:rFonts w:ascii="Titillium Web" w:hAnsi="Titillium Web" w:eastAsia="Arial" w:cs="Arial"/>
                <w:b/>
                <w:color w:val="17375E" w:themeColor="text2" w:themeShade="BF"/>
                <w:sz w:val="40"/>
                <w:szCs w:val="40"/>
              </w:rPr>
            </w:pPr>
            <w:r>
              <w:rPr>
                <w:rFonts w:ascii="Titillium Web" w:hAnsi="Titillium Web" w:eastAsia="Arial" w:cs="Arial"/>
                <w:b/>
                <w:color w:val="17375E" w:themeColor="text2" w:themeShade="BF"/>
                <w:sz w:val="40"/>
                <w:szCs w:val="40"/>
              </w:rPr>
              <w:t>3</w:t>
            </w:r>
          </w:p>
          <w:p w14:paraId="1E8FFFF0">
            <w:pPr>
              <w:spacing w:line="216" w:lineRule="auto"/>
              <w:jc w:val="center"/>
              <w:rPr>
                <w:rFonts w:ascii="Titillium Web" w:hAnsi="Titillium Web" w:eastAsia="Arial" w:cs="Arial"/>
                <w:b/>
                <w:color w:val="595959"/>
                <w:sz w:val="8"/>
                <w:szCs w:val="8"/>
              </w:rPr>
            </w:pPr>
          </w:p>
          <w:p w14:paraId="155A6BDD">
            <w:pPr>
              <w:spacing w:line="216" w:lineRule="auto"/>
              <w:jc w:val="center"/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</w:pPr>
            <w:r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  <w:t>Adottare strategie</w:t>
            </w:r>
          </w:p>
          <w:p w14:paraId="48E8B050">
            <w:pPr>
              <w:spacing w:line="216" w:lineRule="auto"/>
              <w:jc w:val="center"/>
              <w:rPr>
                <w:rFonts w:ascii="Titillium Web" w:hAnsi="Titillium Web" w:eastAsia="Arial" w:cs="Arial"/>
                <w:b/>
                <w:color w:val="000000"/>
                <w:sz w:val="10"/>
                <w:szCs w:val="10"/>
              </w:rPr>
            </w:pPr>
            <w:r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  <w:t>e metodi di valutazione per promuovere l’apprendimento</w:t>
            </w:r>
          </w:p>
          <w:p w14:paraId="21C0BB4A">
            <w:pPr>
              <w:rPr>
                <w:rFonts w:ascii="Arial" w:hAnsi="Arial" w:eastAsia="Arial" w:cs="Arial"/>
                <w:sz w:val="20"/>
                <w:szCs w:val="20"/>
              </w:rPr>
            </w:pPr>
          </w:p>
          <w:p w14:paraId="79DDD1A2">
            <w:pPr>
              <w:rPr>
                <w:rFonts w:ascii="Arial" w:hAnsi="Arial" w:eastAsia="Arial" w:cs="Arial"/>
                <w:sz w:val="20"/>
                <w:szCs w:val="20"/>
              </w:rPr>
            </w:pPr>
          </w:p>
          <w:p w14:paraId="4DC02631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5328" w:type="dxa"/>
            <w:vAlign w:val="center"/>
          </w:tcPr>
          <w:p w14:paraId="5F8606D5">
            <w:pPr>
              <w:spacing w:line="216" w:lineRule="auto"/>
              <w:rPr>
                <w:rFonts w:ascii="Titillium Web" w:hAnsi="Titillium Web" w:eastAsia="Arial" w:cs="Arial"/>
                <w:color w:val="000000" w:themeColor="text1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</w:pPr>
          </w:p>
          <w:p w14:paraId="33C0FBD6">
            <w:pPr>
              <w:spacing w:line="192" w:lineRule="auto"/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Progettare le attività di verifica che consentano di raccogliere evidenze coerenti con gli obiettivi definiti in partenza in termini di competenze sia disciplinari specifiche sia trasversali.</w:t>
            </w:r>
          </w:p>
          <w:p w14:paraId="0D8A0E26">
            <w:pPr>
              <w:spacing w:line="216" w:lineRule="auto"/>
              <w:rPr>
                <w:rFonts w:ascii="Titillium Web" w:hAnsi="Titillium Web" w:eastAsia="Arial" w:cs="Arial"/>
                <w:color w:val="000000" w:themeColor="text1"/>
                <w:sz w:val="12"/>
                <w:szCs w:val="12"/>
                <w:shd w:val="clear" w:color="auto" w:fill="D9E1F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0" w:type="dxa"/>
            <w:vAlign w:val="center"/>
          </w:tcPr>
          <w:p w14:paraId="044D6D46">
            <w:pPr>
              <w:jc w:val="center"/>
              <w:rPr>
                <w:rFonts w:ascii="Titillium Web" w:hAnsi="Titillium Web" w:eastAsia="Arial" w:cs="Arial"/>
                <w:color w:val="000000"/>
                <w:sz w:val="20"/>
                <w:szCs w:val="20"/>
                <w:shd w:val="clear" w:color="auto" w:fill="D9E1F2"/>
              </w:rPr>
            </w:pPr>
          </w:p>
        </w:tc>
      </w:tr>
      <w:tr w14:paraId="74E331D7">
        <w:tblPrEx>
          <w:tblBorders>
            <w:top w:val="single" w:color="A6A6A6" w:sz="12" w:space="0"/>
            <w:left w:val="single" w:color="A6A6A6" w:sz="12" w:space="0"/>
            <w:bottom w:val="single" w:color="A6A6A6" w:sz="12" w:space="0"/>
            <w:right w:val="single" w:color="A6A6A6" w:sz="12" w:space="0"/>
            <w:insideH w:val="single" w:color="A6A6A6" w:sz="12" w:space="0"/>
            <w:insideV w:val="single" w:color="A6A6A6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3" w:type="dxa"/>
            <w:vMerge w:val="continue"/>
            <w:shd w:val="clear" w:color="auto" w:fill="B8CCE4" w:themeFill="accent1" w:themeFillTint="66"/>
            <w:vAlign w:val="center"/>
          </w:tcPr>
          <w:p w14:paraId="3FF726DA">
            <w:pPr>
              <w:spacing w:line="216" w:lineRule="auto"/>
              <w:rPr>
                <w:rFonts w:ascii="Titillium Web" w:hAnsi="Titillium Web" w:eastAsia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328" w:type="dxa"/>
            <w:vAlign w:val="center"/>
          </w:tcPr>
          <w:p w14:paraId="079A4E18">
            <w:pPr>
              <w:spacing w:line="216" w:lineRule="auto"/>
              <w:rPr>
                <w:rFonts w:ascii="Titillium Web" w:hAnsi="Titillium Web" w:eastAsia="Arial" w:cs="Arial"/>
                <w:color w:val="000000" w:themeColor="text1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</w:pPr>
          </w:p>
          <w:p w14:paraId="45B29A7A">
            <w:pPr>
              <w:spacing w:line="192" w:lineRule="auto"/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Implementare strumenti di valutazione formativa </w:t>
            </w:r>
            <w:r>
              <w:rPr>
                <w:rFonts w:ascii="Titillium Web" w:hAnsi="Titillium Web" w:eastAsia="Arial" w:cs="Arial"/>
                <w:i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in itinere</w:t>
            </w:r>
            <w:r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per monitorare i progressi di studenti e studentesse in relazione agli obiettivi didattici definiti in partenza.</w:t>
            </w:r>
          </w:p>
          <w:p w14:paraId="6FDD1727">
            <w:pPr>
              <w:spacing w:line="216" w:lineRule="auto"/>
              <w:rPr>
                <w:rFonts w:ascii="Titillium Web" w:hAnsi="Titillium Web" w:eastAsia="Arial" w:cs="Arial"/>
                <w:color w:val="000000" w:themeColor="text1"/>
                <w:sz w:val="12"/>
                <w:szCs w:val="12"/>
                <w:shd w:val="clear" w:color="auto" w:fill="D9E1F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0" w:type="dxa"/>
            <w:vAlign w:val="center"/>
          </w:tcPr>
          <w:p w14:paraId="0FCE3566">
            <w:pPr>
              <w:jc w:val="center"/>
              <w:rPr>
                <w:rFonts w:ascii="Titillium Web" w:hAnsi="Titillium Web" w:eastAsia="Arial" w:cs="Arial"/>
                <w:color w:val="000000"/>
                <w:sz w:val="20"/>
                <w:szCs w:val="20"/>
                <w:shd w:val="clear" w:color="auto" w:fill="D9E1F2"/>
              </w:rPr>
            </w:pPr>
          </w:p>
        </w:tc>
      </w:tr>
      <w:tr w14:paraId="1C47212D">
        <w:tblPrEx>
          <w:tblBorders>
            <w:top w:val="single" w:color="A6A6A6" w:sz="12" w:space="0"/>
            <w:left w:val="single" w:color="A6A6A6" w:sz="12" w:space="0"/>
            <w:bottom w:val="single" w:color="A6A6A6" w:sz="12" w:space="0"/>
            <w:right w:val="single" w:color="A6A6A6" w:sz="12" w:space="0"/>
            <w:insideH w:val="single" w:color="A6A6A6" w:sz="12" w:space="0"/>
            <w:insideV w:val="single" w:color="A6A6A6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3" w:type="dxa"/>
            <w:vMerge w:val="continue"/>
            <w:shd w:val="clear" w:color="auto" w:fill="B8CCE4" w:themeFill="accent1" w:themeFillTint="66"/>
            <w:vAlign w:val="center"/>
          </w:tcPr>
          <w:p w14:paraId="4AFBF041">
            <w:pPr>
              <w:spacing w:line="216" w:lineRule="auto"/>
              <w:rPr>
                <w:rFonts w:ascii="Titillium Web" w:hAnsi="Titillium Web" w:eastAsia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328" w:type="dxa"/>
            <w:vAlign w:val="center"/>
          </w:tcPr>
          <w:p w14:paraId="3E3CBDDD">
            <w:pPr>
              <w:spacing w:line="216" w:lineRule="auto"/>
              <w:rPr>
                <w:rFonts w:ascii="Titillium Web" w:hAnsi="Titillium Web" w:eastAsia="Arial" w:cs="Arial"/>
                <w:color w:val="000000" w:themeColor="text1"/>
                <w:sz w:val="10"/>
                <w:szCs w:val="10"/>
                <w14:textFill>
                  <w14:solidFill>
                    <w14:schemeClr w14:val="tx1"/>
                  </w14:solidFill>
                </w14:textFill>
              </w:rPr>
            </w:pPr>
          </w:p>
          <w:p w14:paraId="3B4C8F5E">
            <w:pPr>
              <w:spacing w:line="216" w:lineRule="auto"/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Variare e alternare prove di verifica di diversa tipologia.</w:t>
            </w:r>
          </w:p>
          <w:p w14:paraId="0324D8F3">
            <w:pPr>
              <w:spacing w:line="216" w:lineRule="auto"/>
              <w:rPr>
                <w:rFonts w:ascii="Titillium Web" w:hAnsi="Titillium Web" w:eastAsia="Arial" w:cs="Arial"/>
                <w:color w:val="000000" w:themeColor="text1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0" w:type="dxa"/>
            <w:vAlign w:val="center"/>
          </w:tcPr>
          <w:p w14:paraId="37A3A6EA">
            <w:pPr>
              <w:jc w:val="center"/>
              <w:rPr>
                <w:rFonts w:ascii="Titillium Web" w:hAnsi="Titillium Web" w:eastAsia="Arial" w:cs="Arial"/>
                <w:color w:val="000000"/>
                <w:sz w:val="20"/>
                <w:szCs w:val="20"/>
                <w:shd w:val="clear" w:color="auto" w:fill="D9E1F2"/>
              </w:rPr>
            </w:pPr>
          </w:p>
        </w:tc>
      </w:tr>
      <w:tr w14:paraId="465BC9ED">
        <w:tblPrEx>
          <w:tblBorders>
            <w:top w:val="single" w:color="A6A6A6" w:sz="12" w:space="0"/>
            <w:left w:val="single" w:color="A6A6A6" w:sz="12" w:space="0"/>
            <w:bottom w:val="single" w:color="A6A6A6" w:sz="12" w:space="0"/>
            <w:right w:val="single" w:color="A6A6A6" w:sz="12" w:space="0"/>
            <w:insideH w:val="single" w:color="A6A6A6" w:sz="12" w:space="0"/>
            <w:insideV w:val="single" w:color="A6A6A6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3" w:type="dxa"/>
            <w:vMerge w:val="continue"/>
            <w:shd w:val="clear" w:color="auto" w:fill="B8CCE4" w:themeFill="accent1" w:themeFillTint="66"/>
            <w:vAlign w:val="center"/>
          </w:tcPr>
          <w:p w14:paraId="6FD06E5F">
            <w:pPr>
              <w:spacing w:line="216" w:lineRule="auto"/>
              <w:rPr>
                <w:rFonts w:ascii="Titillium Web" w:hAnsi="Titillium Web" w:eastAsia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328" w:type="dxa"/>
            <w:vAlign w:val="center"/>
          </w:tcPr>
          <w:p w14:paraId="2A27271A">
            <w:pPr>
              <w:spacing w:line="216" w:lineRule="auto"/>
              <w:rPr>
                <w:rFonts w:ascii="Titillium Web" w:hAnsi="Titillium Web" w:eastAsia="Arial" w:cs="Arial"/>
                <w:color w:val="000000" w:themeColor="text1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</w:pPr>
          </w:p>
          <w:p w14:paraId="3B13DC33">
            <w:pPr>
              <w:spacing w:line="192" w:lineRule="auto"/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Comunicare con chiarezza a studenti e studentesse fin dall’inizio sia gli obiettivi di apprendimento sia i criteri di valutazione delle prove di verifica che verranno somministrate.</w:t>
            </w:r>
          </w:p>
          <w:p w14:paraId="03F35C82">
            <w:pPr>
              <w:spacing w:line="192" w:lineRule="auto"/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tillium Web" w:hAnsi="Titillium Web" w:eastAsia="Arial" w:cs="Arial"/>
                <w:i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Per l’infanzia</w:t>
            </w:r>
            <w:r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: esplicitare con chiarezza e con un linguaggio adeguato all’età di alunni ed alunne gli obiettivi delle attività proposte.</w:t>
            </w:r>
          </w:p>
          <w:p w14:paraId="2A30A1BF">
            <w:pPr>
              <w:spacing w:line="216" w:lineRule="auto"/>
              <w:rPr>
                <w:rFonts w:ascii="Titillium Web" w:hAnsi="Titillium Web" w:eastAsia="Arial" w:cs="Arial"/>
                <w:color w:val="000000" w:themeColor="text1"/>
                <w:sz w:val="12"/>
                <w:szCs w:val="12"/>
                <w:shd w:val="clear" w:color="auto" w:fill="D9E1F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0" w:type="dxa"/>
            <w:vAlign w:val="center"/>
          </w:tcPr>
          <w:p w14:paraId="26B9F0E8">
            <w:pPr>
              <w:jc w:val="center"/>
              <w:rPr>
                <w:rFonts w:ascii="Titillium Web" w:hAnsi="Titillium Web" w:eastAsia="Arial" w:cs="Arial"/>
                <w:color w:val="000000"/>
                <w:sz w:val="20"/>
                <w:szCs w:val="20"/>
                <w:shd w:val="clear" w:color="auto" w:fill="D9E1F2"/>
              </w:rPr>
            </w:pPr>
          </w:p>
        </w:tc>
      </w:tr>
      <w:tr w14:paraId="7FD4509F">
        <w:tblPrEx>
          <w:tblBorders>
            <w:top w:val="single" w:color="A6A6A6" w:sz="12" w:space="0"/>
            <w:left w:val="single" w:color="A6A6A6" w:sz="12" w:space="0"/>
            <w:bottom w:val="single" w:color="A6A6A6" w:sz="12" w:space="0"/>
            <w:right w:val="single" w:color="A6A6A6" w:sz="12" w:space="0"/>
            <w:insideH w:val="single" w:color="A6A6A6" w:sz="12" w:space="0"/>
            <w:insideV w:val="single" w:color="A6A6A6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3" w:type="dxa"/>
            <w:vMerge w:val="continue"/>
            <w:shd w:val="clear" w:color="auto" w:fill="B8CCE4" w:themeFill="accent1" w:themeFillTint="66"/>
            <w:vAlign w:val="center"/>
          </w:tcPr>
          <w:p w14:paraId="4A5E542D">
            <w:pPr>
              <w:spacing w:line="216" w:lineRule="auto"/>
              <w:rPr>
                <w:rFonts w:ascii="Titillium Web" w:hAnsi="Titillium Web" w:eastAsia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328" w:type="dxa"/>
            <w:vAlign w:val="center"/>
          </w:tcPr>
          <w:p w14:paraId="1FD01C57">
            <w:pPr>
              <w:spacing w:line="216" w:lineRule="auto"/>
              <w:rPr>
                <w:rFonts w:ascii="Titillium Web" w:hAnsi="Titillium Web" w:eastAsia="Arial" w:cs="Arial"/>
                <w:color w:val="000000" w:themeColor="text1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</w:pPr>
          </w:p>
          <w:p w14:paraId="0DDBEEDB">
            <w:pPr>
              <w:spacing w:line="192" w:lineRule="auto"/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Assicurare a studenti e studentesse </w:t>
            </w:r>
            <w:r>
              <w:rPr>
                <w:rFonts w:ascii="Titillium Web" w:hAnsi="Titillium Web" w:eastAsia="Arial" w:cs="Arial"/>
                <w:i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feedback</w:t>
            </w:r>
            <w:r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formativi così da promuovere il miglioramento dei processi educativi e la crescita di ognuno/a.</w:t>
            </w:r>
          </w:p>
          <w:p w14:paraId="4966F258">
            <w:pPr>
              <w:spacing w:line="216" w:lineRule="auto"/>
              <w:rPr>
                <w:rFonts w:ascii="Titillium Web" w:hAnsi="Titillium Web" w:eastAsia="Arial" w:cs="Arial"/>
                <w:color w:val="000000" w:themeColor="text1"/>
                <w:sz w:val="12"/>
                <w:szCs w:val="12"/>
                <w:shd w:val="clear" w:color="auto" w:fill="D9E1F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0" w:type="dxa"/>
            <w:vAlign w:val="center"/>
          </w:tcPr>
          <w:p w14:paraId="0D6BE8F2">
            <w:pPr>
              <w:jc w:val="center"/>
              <w:rPr>
                <w:rFonts w:ascii="Titillium Web" w:hAnsi="Titillium Web" w:eastAsia="Arial" w:cs="Arial"/>
                <w:color w:val="000000"/>
                <w:sz w:val="20"/>
                <w:szCs w:val="20"/>
                <w:shd w:val="clear" w:color="auto" w:fill="D9E1F2"/>
              </w:rPr>
            </w:pPr>
          </w:p>
        </w:tc>
      </w:tr>
      <w:tr w14:paraId="50FC22B6">
        <w:tblPrEx>
          <w:tblBorders>
            <w:top w:val="single" w:color="A6A6A6" w:sz="12" w:space="0"/>
            <w:left w:val="single" w:color="A6A6A6" w:sz="12" w:space="0"/>
            <w:bottom w:val="single" w:color="A6A6A6" w:sz="12" w:space="0"/>
            <w:right w:val="single" w:color="A6A6A6" w:sz="12" w:space="0"/>
            <w:insideH w:val="single" w:color="A6A6A6" w:sz="12" w:space="0"/>
            <w:insideV w:val="single" w:color="A6A6A6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0F25D342">
            <w:pPr>
              <w:spacing w:line="180" w:lineRule="auto"/>
              <w:jc w:val="center"/>
              <w:rPr>
                <w:rFonts w:ascii="Titillium Web" w:hAnsi="Titillium Web" w:eastAsia="Arial" w:cs="Arial"/>
                <w:b/>
                <w:color w:val="17375E" w:themeColor="text2" w:themeShade="BF"/>
                <w:sz w:val="10"/>
                <w:szCs w:val="10"/>
              </w:rPr>
            </w:pPr>
            <w:r>
              <w:rPr>
                <w:rFonts w:ascii="Titillium Web" w:hAnsi="Titillium Web" w:eastAsia="Arial" w:cs="Arial"/>
                <w:b/>
                <w:color w:val="17375E" w:themeColor="text2" w:themeShade="BF"/>
                <w:sz w:val="20"/>
                <w:szCs w:val="20"/>
              </w:rPr>
              <w:t>Standard minimo</w:t>
            </w:r>
          </w:p>
          <w:p w14:paraId="3926493E">
            <w:pPr>
              <w:spacing w:line="180" w:lineRule="auto"/>
              <w:jc w:val="center"/>
              <w:rPr>
                <w:rFonts w:ascii="Titillium Web" w:hAnsi="Titillium Web" w:eastAsia="Arial" w:cs="Arial"/>
                <w:b/>
                <w:color w:val="17375E" w:themeColor="text2" w:themeShade="BF"/>
                <w:sz w:val="40"/>
                <w:szCs w:val="40"/>
              </w:rPr>
            </w:pPr>
            <w:r>
              <w:rPr>
                <w:rFonts w:ascii="Titillium Web" w:hAnsi="Titillium Web" w:eastAsia="Arial" w:cs="Arial"/>
                <w:b/>
                <w:color w:val="17375E" w:themeColor="text2" w:themeShade="BF"/>
                <w:sz w:val="40"/>
                <w:szCs w:val="40"/>
              </w:rPr>
              <w:t>4</w:t>
            </w:r>
          </w:p>
          <w:p w14:paraId="0CD4A731">
            <w:pPr>
              <w:spacing w:line="216" w:lineRule="auto"/>
              <w:jc w:val="center"/>
              <w:rPr>
                <w:rFonts w:ascii="Titillium Web" w:hAnsi="Titillium Web" w:eastAsia="Arial" w:cs="Arial"/>
                <w:b/>
                <w:color w:val="595959"/>
                <w:sz w:val="8"/>
                <w:szCs w:val="8"/>
              </w:rPr>
            </w:pPr>
          </w:p>
          <w:p w14:paraId="551ECA35">
            <w:pPr>
              <w:spacing w:line="216" w:lineRule="auto"/>
              <w:jc w:val="center"/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</w:pPr>
            <w:r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  <w:t>Gestire relazioni</w:t>
            </w:r>
          </w:p>
          <w:p w14:paraId="19403111">
            <w:pPr>
              <w:spacing w:line="216" w:lineRule="auto"/>
              <w:jc w:val="center"/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</w:pPr>
            <w:r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  <w:t>e comportamenti</w:t>
            </w:r>
          </w:p>
          <w:p w14:paraId="4EA71C89">
            <w:pPr>
              <w:spacing w:line="216" w:lineRule="auto"/>
              <w:jc w:val="center"/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</w:pPr>
            <w:r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  <w:t>in classe per favorire l’apprendimento</w:t>
            </w:r>
          </w:p>
          <w:p w14:paraId="7BFE98EB">
            <w:pPr>
              <w:spacing w:line="216" w:lineRule="auto"/>
              <w:jc w:val="center"/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</w:pPr>
            <w:r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  <w:t>in un clima disteso</w:t>
            </w:r>
          </w:p>
          <w:p w14:paraId="713D77D0">
            <w:pPr>
              <w:spacing w:line="216" w:lineRule="auto"/>
              <w:jc w:val="center"/>
              <w:rPr>
                <w:rFonts w:ascii="Titillium Web" w:hAnsi="Titillium Web" w:eastAsia="Arial" w:cs="Arial"/>
                <w:b/>
                <w:color w:val="000000"/>
                <w:sz w:val="10"/>
                <w:szCs w:val="10"/>
              </w:rPr>
            </w:pPr>
            <w:r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  <w:t>e collaborativo</w:t>
            </w:r>
          </w:p>
          <w:p w14:paraId="5E2A5DEC">
            <w:pPr>
              <w:rPr>
                <w:rFonts w:ascii="Titillium Web" w:hAnsi="Titillium Web" w:eastAsia="Arial" w:cs="Arial"/>
                <w:color w:val="000000"/>
                <w:sz w:val="20"/>
                <w:szCs w:val="20"/>
              </w:rPr>
            </w:pPr>
          </w:p>
          <w:p w14:paraId="1A620E37">
            <w:pPr>
              <w:rPr>
                <w:rFonts w:ascii="Titillium Web" w:hAnsi="Titillium Web" w:eastAsia="Arial" w:cs="Arial"/>
                <w:b/>
                <w:color w:val="000000"/>
                <w:sz w:val="10"/>
                <w:szCs w:val="10"/>
              </w:rPr>
            </w:pPr>
          </w:p>
        </w:tc>
        <w:tc>
          <w:tcPr>
            <w:tcW w:w="5328" w:type="dxa"/>
            <w:vAlign w:val="center"/>
          </w:tcPr>
          <w:p w14:paraId="3EC8018A">
            <w:pPr>
              <w:spacing w:line="216" w:lineRule="auto"/>
              <w:rPr>
                <w:rFonts w:ascii="Titillium Web" w:hAnsi="Titillium Web" w:eastAsia="Arial" w:cs="Arial"/>
                <w:color w:val="000000" w:themeColor="text1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</w:pPr>
          </w:p>
          <w:p w14:paraId="19EFCF65">
            <w:pPr>
              <w:spacing w:line="192" w:lineRule="auto"/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Promuovere in studenti e studentesse l’apprendimento collaborativo e/o cooperativo.</w:t>
            </w:r>
          </w:p>
          <w:p w14:paraId="1FF41B61">
            <w:pPr>
              <w:spacing w:line="216" w:lineRule="auto"/>
              <w:rPr>
                <w:rFonts w:ascii="Titillium Web" w:hAnsi="Titillium Web" w:eastAsia="Arial" w:cs="Arial"/>
                <w:color w:val="000000" w:themeColor="text1"/>
                <w:sz w:val="8"/>
                <w:szCs w:val="8"/>
                <w14:textFill>
                  <w14:solidFill>
                    <w14:schemeClr w14:val="tx1"/>
                  </w14:solidFill>
                </w14:textFill>
              </w:rPr>
            </w:pPr>
          </w:p>
          <w:p w14:paraId="72CB08DD">
            <w:pPr>
              <w:spacing w:line="216" w:lineRule="auto"/>
              <w:rPr>
                <w:rFonts w:ascii="Titillium Web" w:hAnsi="Titillium Web" w:eastAsia="Arial" w:cs="Arial"/>
                <w:color w:val="000000" w:themeColor="text1"/>
                <w:sz w:val="8"/>
                <w:szCs w:val="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0" w:type="dxa"/>
            <w:vAlign w:val="center"/>
          </w:tcPr>
          <w:p w14:paraId="72200210">
            <w:pPr>
              <w:jc w:val="center"/>
              <w:rPr>
                <w:rFonts w:ascii="Titillium Web" w:hAnsi="Titillium Web" w:eastAsia="Arial" w:cs="Arial"/>
                <w:color w:val="000000"/>
                <w:sz w:val="20"/>
                <w:szCs w:val="20"/>
                <w:shd w:val="clear" w:color="auto" w:fill="D9E1F2"/>
              </w:rPr>
            </w:pPr>
          </w:p>
        </w:tc>
      </w:tr>
      <w:tr w14:paraId="5E735182">
        <w:tblPrEx>
          <w:tblBorders>
            <w:top w:val="single" w:color="A6A6A6" w:sz="12" w:space="0"/>
            <w:left w:val="single" w:color="A6A6A6" w:sz="12" w:space="0"/>
            <w:bottom w:val="single" w:color="A6A6A6" w:sz="12" w:space="0"/>
            <w:right w:val="single" w:color="A6A6A6" w:sz="12" w:space="0"/>
            <w:insideH w:val="single" w:color="A6A6A6" w:sz="12" w:space="0"/>
            <w:insideV w:val="single" w:color="A6A6A6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3" w:type="dxa"/>
            <w:vMerge w:val="continue"/>
            <w:shd w:val="clear" w:color="auto" w:fill="B8CCE4" w:themeFill="accent1" w:themeFillTint="66"/>
            <w:vAlign w:val="center"/>
          </w:tcPr>
          <w:p w14:paraId="73CC868B">
            <w:pPr>
              <w:rPr>
                <w:rFonts w:ascii="Titillium Web" w:hAnsi="Titillium Web" w:eastAsia="Arial" w:cs="Arial"/>
                <w:color w:val="000000"/>
                <w:sz w:val="20"/>
                <w:szCs w:val="20"/>
              </w:rPr>
            </w:pPr>
          </w:p>
        </w:tc>
        <w:tc>
          <w:tcPr>
            <w:tcW w:w="5328" w:type="dxa"/>
            <w:vAlign w:val="center"/>
          </w:tcPr>
          <w:p w14:paraId="085267F4">
            <w:pPr>
              <w:spacing w:line="216" w:lineRule="auto"/>
              <w:rPr>
                <w:rFonts w:ascii="Titillium Web" w:hAnsi="Titillium Web" w:eastAsia="Arial" w:cs="Arial"/>
                <w:color w:val="000000" w:themeColor="text1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</w:p>
          <w:p w14:paraId="5C6AAD04">
            <w:pPr>
              <w:spacing w:line="192" w:lineRule="auto"/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Implementare attività di apprendimento autonomo e di studio autoregolato.</w:t>
            </w:r>
          </w:p>
          <w:p w14:paraId="037C6732">
            <w:pPr>
              <w:spacing w:line="216" w:lineRule="auto"/>
              <w:rPr>
                <w:rFonts w:ascii="Titillium Web" w:hAnsi="Titillium Web" w:eastAsia="Arial" w:cs="Arial"/>
                <w:color w:val="000000" w:themeColor="text1"/>
                <w:sz w:val="10"/>
                <w:szCs w:val="1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0" w:type="dxa"/>
            <w:vAlign w:val="center"/>
          </w:tcPr>
          <w:p w14:paraId="568F9C7D">
            <w:pPr>
              <w:jc w:val="center"/>
              <w:rPr>
                <w:rFonts w:ascii="Titillium Web" w:hAnsi="Titillium Web" w:eastAsia="Arial" w:cs="Arial"/>
                <w:color w:val="000000"/>
                <w:sz w:val="20"/>
                <w:szCs w:val="20"/>
                <w:shd w:val="clear" w:color="auto" w:fill="D9E1F2"/>
              </w:rPr>
            </w:pPr>
          </w:p>
        </w:tc>
      </w:tr>
      <w:tr w14:paraId="3335B2E8">
        <w:tblPrEx>
          <w:tblBorders>
            <w:top w:val="single" w:color="A6A6A6" w:sz="12" w:space="0"/>
            <w:left w:val="single" w:color="A6A6A6" w:sz="12" w:space="0"/>
            <w:bottom w:val="single" w:color="A6A6A6" w:sz="12" w:space="0"/>
            <w:right w:val="single" w:color="A6A6A6" w:sz="12" w:space="0"/>
            <w:insideH w:val="single" w:color="A6A6A6" w:sz="12" w:space="0"/>
            <w:insideV w:val="single" w:color="A6A6A6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3" w:type="dxa"/>
            <w:vMerge w:val="continue"/>
            <w:shd w:val="clear" w:color="auto" w:fill="B8CCE4" w:themeFill="accent1" w:themeFillTint="66"/>
            <w:vAlign w:val="center"/>
          </w:tcPr>
          <w:p w14:paraId="090AC9DD">
            <w:pPr>
              <w:rPr>
                <w:rFonts w:ascii="Titillium Web" w:hAnsi="Titillium Web" w:eastAsia="Arial" w:cs="Arial"/>
                <w:color w:val="000000"/>
                <w:sz w:val="20"/>
                <w:szCs w:val="20"/>
              </w:rPr>
            </w:pPr>
          </w:p>
        </w:tc>
        <w:tc>
          <w:tcPr>
            <w:tcW w:w="5328" w:type="dxa"/>
            <w:vAlign w:val="center"/>
          </w:tcPr>
          <w:p w14:paraId="7DEECA65">
            <w:pPr>
              <w:spacing w:line="216" w:lineRule="auto"/>
              <w:rPr>
                <w:rFonts w:ascii="Titillium Web" w:hAnsi="Titillium Web" w:eastAsia="Arial" w:cs="Arial"/>
                <w:color w:val="000000" w:themeColor="text1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</w:pPr>
          </w:p>
          <w:p w14:paraId="4CD77DDA">
            <w:pPr>
              <w:spacing w:line="192" w:lineRule="auto"/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Individuare e condividere regole di comportamento e forme di comunicazione che tengano conto delle diversità e facilitino il superamento di eventuali situazioni problematiche.</w:t>
            </w:r>
          </w:p>
          <w:p w14:paraId="0203E319">
            <w:pPr>
              <w:spacing w:line="216" w:lineRule="auto"/>
              <w:rPr>
                <w:rFonts w:ascii="Titillium Web" w:hAnsi="Titillium Web" w:eastAsia="Arial" w:cs="Arial"/>
                <w:color w:val="000000" w:themeColor="text1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0" w:type="dxa"/>
            <w:vAlign w:val="center"/>
          </w:tcPr>
          <w:p w14:paraId="6A2BF3D2">
            <w:pPr>
              <w:jc w:val="center"/>
              <w:rPr>
                <w:rFonts w:ascii="Titillium Web" w:hAnsi="Titillium Web" w:eastAsia="Arial" w:cs="Arial"/>
                <w:color w:val="000000"/>
                <w:sz w:val="20"/>
                <w:szCs w:val="20"/>
                <w:shd w:val="clear" w:color="auto" w:fill="D9E1F2"/>
              </w:rPr>
            </w:pPr>
          </w:p>
        </w:tc>
      </w:tr>
      <w:tr w14:paraId="6E273C6F">
        <w:tblPrEx>
          <w:tblBorders>
            <w:top w:val="single" w:color="A6A6A6" w:sz="12" w:space="0"/>
            <w:left w:val="single" w:color="A6A6A6" w:sz="12" w:space="0"/>
            <w:bottom w:val="single" w:color="A6A6A6" w:sz="12" w:space="0"/>
            <w:right w:val="single" w:color="A6A6A6" w:sz="12" w:space="0"/>
            <w:insideH w:val="single" w:color="A6A6A6" w:sz="12" w:space="0"/>
            <w:insideV w:val="single" w:color="A6A6A6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9" w:hRule="atLeast"/>
        </w:trPr>
        <w:tc>
          <w:tcPr>
            <w:tcW w:w="2353" w:type="dxa"/>
            <w:vMerge w:val="continue"/>
            <w:shd w:val="clear" w:color="auto" w:fill="B8CCE4" w:themeFill="accent1" w:themeFillTint="66"/>
            <w:vAlign w:val="center"/>
          </w:tcPr>
          <w:p w14:paraId="2E1D432D">
            <w:pPr>
              <w:rPr>
                <w:rFonts w:ascii="Titillium Web" w:hAnsi="Titillium Web" w:eastAsia="Arial" w:cs="Arial"/>
                <w:color w:val="000000"/>
                <w:sz w:val="20"/>
                <w:szCs w:val="20"/>
              </w:rPr>
            </w:pPr>
          </w:p>
        </w:tc>
        <w:tc>
          <w:tcPr>
            <w:tcW w:w="5328" w:type="dxa"/>
            <w:vAlign w:val="center"/>
          </w:tcPr>
          <w:p w14:paraId="33A6E778">
            <w:pPr>
              <w:spacing w:line="216" w:lineRule="auto"/>
              <w:rPr>
                <w:rFonts w:ascii="Titillium Web" w:hAnsi="Titillium Web" w:eastAsia="Arial" w:cs="Arial"/>
                <w:color w:val="000000" w:themeColor="text1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</w:pPr>
          </w:p>
          <w:p w14:paraId="250AC36F">
            <w:pPr>
              <w:spacing w:line="192" w:lineRule="auto"/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Sostenere l’autostima di ogni studente e studentessa e favorirne (anche quando membro di un gruppo) la percezione di autoefficacia valorizzando il suo contributo e l’impegno profuso.</w:t>
            </w:r>
          </w:p>
          <w:p w14:paraId="49233DE1">
            <w:pPr>
              <w:spacing w:line="216" w:lineRule="auto"/>
              <w:rPr>
                <w:rFonts w:ascii="Titillium Web" w:hAnsi="Titillium Web" w:eastAsia="Arial" w:cs="Arial"/>
                <w:color w:val="000000" w:themeColor="text1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</w:p>
          <w:p w14:paraId="6809B914">
            <w:pPr>
              <w:spacing w:line="216" w:lineRule="auto"/>
              <w:rPr>
                <w:rFonts w:ascii="Titillium Web" w:hAnsi="Titillium Web" w:eastAsia="Arial" w:cs="Arial"/>
                <w:color w:val="000000" w:themeColor="text1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0" w:type="dxa"/>
            <w:vAlign w:val="center"/>
          </w:tcPr>
          <w:p w14:paraId="580E1406">
            <w:pPr>
              <w:jc w:val="center"/>
              <w:rPr>
                <w:rFonts w:ascii="Titillium Web" w:hAnsi="Titillium Web" w:eastAsia="Arial" w:cs="Arial"/>
                <w:color w:val="000000"/>
                <w:sz w:val="20"/>
                <w:szCs w:val="20"/>
                <w:shd w:val="clear" w:color="auto" w:fill="D9E1F2"/>
              </w:rPr>
            </w:pPr>
          </w:p>
          <w:p w14:paraId="2F230944">
            <w:pPr>
              <w:jc w:val="center"/>
              <w:rPr>
                <w:rFonts w:ascii="Titillium Web" w:hAnsi="Titillium Web" w:eastAsia="Arial" w:cs="Arial"/>
                <w:color w:val="000000"/>
                <w:sz w:val="20"/>
                <w:szCs w:val="20"/>
                <w:shd w:val="clear" w:color="auto" w:fill="D9E1F2"/>
              </w:rPr>
            </w:pPr>
          </w:p>
        </w:tc>
      </w:tr>
    </w:tbl>
    <w:p w14:paraId="7DA65D8D">
      <w:pPr>
        <w:rPr>
          <w:sz w:val="2"/>
          <w:szCs w:val="2"/>
        </w:rPr>
      </w:pPr>
    </w:p>
    <w:p w14:paraId="2405AC1C">
      <w:pPr>
        <w:rPr>
          <w:sz w:val="2"/>
          <w:szCs w:val="2"/>
        </w:rPr>
      </w:pPr>
    </w:p>
    <w:p w14:paraId="425A4513">
      <w:pPr>
        <w:rPr>
          <w:sz w:val="2"/>
          <w:szCs w:val="2"/>
        </w:rPr>
      </w:pPr>
    </w:p>
    <w:tbl>
      <w:tblPr>
        <w:tblStyle w:val="12"/>
        <w:tblW w:w="9781" w:type="dxa"/>
        <w:tblInd w:w="108" w:type="dxa"/>
        <w:tblBorders>
          <w:top w:val="single" w:color="A6A6A6" w:sz="12" w:space="0"/>
          <w:left w:val="single" w:color="A6A6A6" w:sz="12" w:space="0"/>
          <w:bottom w:val="single" w:color="A6A6A6" w:sz="12" w:space="0"/>
          <w:right w:val="single" w:color="A6A6A6" w:sz="12" w:space="0"/>
          <w:insideH w:val="single" w:color="A6A6A6" w:sz="12" w:space="0"/>
          <w:insideV w:val="single" w:color="A6A6A6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3"/>
        <w:gridCol w:w="5328"/>
        <w:gridCol w:w="2100"/>
      </w:tblGrid>
      <w:tr w14:paraId="500539C1">
        <w:tblPrEx>
          <w:tblBorders>
            <w:top w:val="single" w:color="A6A6A6" w:sz="12" w:space="0"/>
            <w:left w:val="single" w:color="A6A6A6" w:sz="12" w:space="0"/>
            <w:bottom w:val="single" w:color="A6A6A6" w:sz="12" w:space="0"/>
            <w:right w:val="single" w:color="A6A6A6" w:sz="12" w:space="0"/>
            <w:insideH w:val="single" w:color="A6A6A6" w:sz="12" w:space="0"/>
            <w:insideV w:val="single" w:color="A6A6A6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81" w:type="dxa"/>
            <w:gridSpan w:val="3"/>
            <w:tcBorders>
              <w:top w:val="single" w:color="A6A6A6" w:sz="12" w:space="0"/>
            </w:tcBorders>
            <w:shd w:val="clear" w:color="auto" w:fill="95B3D7" w:themeFill="accent1" w:themeFillTint="99"/>
            <w:vAlign w:val="center"/>
          </w:tcPr>
          <w:p w14:paraId="725FEED8">
            <w:pPr>
              <w:ind w:left="-113" w:right="-119"/>
              <w:jc w:val="center"/>
              <w:rPr>
                <w:rFonts w:ascii="Titillium Web" w:hAnsi="Titillium Web" w:eastAsia="Arial" w:cs="Arial"/>
                <w:b/>
                <w:color w:val="000000"/>
                <w:sz w:val="8"/>
                <w:szCs w:val="8"/>
              </w:rPr>
            </w:pPr>
          </w:p>
          <w:p w14:paraId="655AC1CA">
            <w:pPr>
              <w:ind w:left="-113" w:right="-119"/>
              <w:jc w:val="center"/>
              <w:rPr>
                <w:rFonts w:ascii="Titillium Web" w:hAnsi="Titillium Web" w:eastAsia="Arial" w:cs="Arial"/>
                <w:b/>
                <w:color w:val="595959"/>
                <w:sz w:val="28"/>
                <w:szCs w:val="28"/>
              </w:rPr>
            </w:pPr>
            <w:r>
              <w:rPr>
                <w:rFonts w:ascii="Titillium Web" w:hAnsi="Titillium Web" w:eastAsia="Arial" w:cs="Arial"/>
                <w:b/>
                <w:color w:val="595959"/>
                <w:sz w:val="28"/>
                <w:szCs w:val="28"/>
              </w:rPr>
              <w:t>B - ISTITUZIONE-COMUNITÀ</w:t>
            </w:r>
          </w:p>
          <w:p w14:paraId="65C93CD2">
            <w:pPr>
              <w:ind w:left="-113" w:right="-119"/>
              <w:jc w:val="center"/>
              <w:rPr>
                <w:rFonts w:ascii="Titillium Web" w:hAnsi="Titillium Web" w:eastAsia="Arial" w:cs="Arial"/>
                <w:b/>
                <w:i/>
                <w:color w:val="595959"/>
                <w:sz w:val="20"/>
                <w:szCs w:val="20"/>
              </w:rPr>
            </w:pPr>
            <w:r>
              <w:rPr>
                <w:rFonts w:ascii="Titillium Web" w:hAnsi="Titillium Web" w:eastAsia="Arial" w:cs="Arial"/>
                <w:b/>
                <w:i/>
                <w:color w:val="595959"/>
                <w:sz w:val="20"/>
                <w:szCs w:val="20"/>
              </w:rPr>
              <w:t>Area delle competenze relative alla partecipazione alla vita della scuola e del contesto sociale</w:t>
            </w:r>
          </w:p>
          <w:p w14:paraId="742F2757">
            <w:pPr>
              <w:ind w:left="-113" w:right="-119"/>
              <w:jc w:val="center"/>
              <w:rPr>
                <w:rFonts w:ascii="Titillium Web" w:hAnsi="Titillium Web" w:eastAsia="Arial" w:cs="Arial"/>
                <w:color w:val="000000"/>
                <w:sz w:val="8"/>
                <w:szCs w:val="8"/>
                <w:shd w:val="clear" w:color="auto" w:fill="D9E1F2"/>
              </w:rPr>
            </w:pPr>
          </w:p>
        </w:tc>
      </w:tr>
      <w:tr w14:paraId="2D46502D">
        <w:tblPrEx>
          <w:tblBorders>
            <w:top w:val="single" w:color="A6A6A6" w:sz="12" w:space="0"/>
            <w:left w:val="single" w:color="A6A6A6" w:sz="12" w:space="0"/>
            <w:bottom w:val="single" w:color="A6A6A6" w:sz="12" w:space="0"/>
            <w:right w:val="single" w:color="A6A6A6" w:sz="12" w:space="0"/>
            <w:insideH w:val="single" w:color="A6A6A6" w:sz="12" w:space="0"/>
            <w:insideV w:val="single" w:color="A6A6A6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73857268">
            <w:pPr>
              <w:spacing w:line="180" w:lineRule="auto"/>
              <w:jc w:val="center"/>
              <w:rPr>
                <w:rFonts w:ascii="Titillium Web" w:hAnsi="Titillium Web" w:eastAsia="Arial" w:cs="Arial"/>
                <w:b/>
                <w:color w:val="17375E" w:themeColor="text2" w:themeShade="BF"/>
                <w:sz w:val="40"/>
                <w:szCs w:val="40"/>
              </w:rPr>
            </w:pPr>
            <w:r>
              <w:rPr>
                <w:rFonts w:ascii="Titillium Web" w:hAnsi="Titillium Web" w:eastAsia="Arial" w:cs="Arial"/>
                <w:b/>
                <w:color w:val="17375E" w:themeColor="text2" w:themeShade="BF"/>
                <w:sz w:val="20"/>
                <w:szCs w:val="20"/>
              </w:rPr>
              <w:t>Standard minimo</w:t>
            </w:r>
          </w:p>
          <w:p w14:paraId="6183030E">
            <w:pPr>
              <w:spacing w:line="180" w:lineRule="auto"/>
              <w:jc w:val="center"/>
              <w:rPr>
                <w:rFonts w:ascii="Titillium Web" w:hAnsi="Titillium Web" w:eastAsia="Arial" w:cs="Arial"/>
                <w:b/>
                <w:color w:val="17375E" w:themeColor="text2" w:themeShade="BF"/>
                <w:sz w:val="40"/>
                <w:szCs w:val="40"/>
              </w:rPr>
            </w:pPr>
            <w:r>
              <w:rPr>
                <w:rFonts w:ascii="Titillium Web" w:hAnsi="Titillium Web" w:eastAsia="Arial" w:cs="Arial"/>
                <w:b/>
                <w:color w:val="17375E" w:themeColor="text2" w:themeShade="BF"/>
                <w:sz w:val="40"/>
                <w:szCs w:val="40"/>
              </w:rPr>
              <w:t>5</w:t>
            </w:r>
          </w:p>
          <w:p w14:paraId="7A1912EA">
            <w:pPr>
              <w:spacing w:line="216" w:lineRule="auto"/>
              <w:jc w:val="center"/>
              <w:rPr>
                <w:rFonts w:ascii="Titillium Web" w:hAnsi="Titillium Web" w:eastAsia="Arial" w:cs="Arial"/>
                <w:color w:val="595959"/>
                <w:sz w:val="8"/>
                <w:szCs w:val="8"/>
              </w:rPr>
            </w:pPr>
          </w:p>
          <w:p w14:paraId="2EF78B40">
            <w:pPr>
              <w:spacing w:line="216" w:lineRule="auto"/>
              <w:jc w:val="center"/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</w:pPr>
            <w:r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  <w:t>Partecipare attivamente all’esperienza professionale organizzata a scuola, comprendendo</w:t>
            </w:r>
          </w:p>
          <w:p w14:paraId="69A5F3FC">
            <w:pPr>
              <w:spacing w:line="216" w:lineRule="auto"/>
              <w:jc w:val="center"/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</w:pPr>
            <w:r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  <w:t>e applicando funzioni</w:t>
            </w:r>
          </w:p>
          <w:p w14:paraId="1E8DED4E">
            <w:pPr>
              <w:spacing w:line="216" w:lineRule="auto"/>
              <w:jc w:val="center"/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</w:pPr>
            <w:r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  <w:t>e modalità</w:t>
            </w:r>
          </w:p>
          <w:p w14:paraId="45D58C3F">
            <w:pPr>
              <w:spacing w:line="216" w:lineRule="auto"/>
              <w:jc w:val="center"/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</w:pPr>
            <w:r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  <w:t>della valutazione interna</w:t>
            </w:r>
          </w:p>
          <w:p w14:paraId="2C722E98">
            <w:pPr>
              <w:spacing w:line="216" w:lineRule="auto"/>
              <w:jc w:val="center"/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</w:pPr>
            <w:r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  <w:t>ed esterna</w:t>
            </w:r>
          </w:p>
          <w:p w14:paraId="337251AA">
            <w:pPr>
              <w:spacing w:line="216" w:lineRule="auto"/>
              <w:jc w:val="center"/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</w:pPr>
            <w:r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  <w:t>degli apprendimenti formali, non formali</w:t>
            </w:r>
          </w:p>
          <w:p w14:paraId="43B3B56F">
            <w:pPr>
              <w:spacing w:line="216" w:lineRule="auto"/>
              <w:jc w:val="center"/>
              <w:rPr>
                <w:rFonts w:ascii="Titillium Web" w:hAnsi="Titillium Web" w:eastAsia="Arial" w:cs="Arial"/>
                <w:b/>
                <w:color w:val="000000"/>
                <w:sz w:val="10"/>
                <w:szCs w:val="10"/>
              </w:rPr>
            </w:pPr>
            <w:r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  <w:t>e informali</w:t>
            </w:r>
          </w:p>
        </w:tc>
        <w:tc>
          <w:tcPr>
            <w:tcW w:w="5328" w:type="dxa"/>
            <w:vAlign w:val="center"/>
          </w:tcPr>
          <w:p w14:paraId="60443286">
            <w:pPr>
              <w:spacing w:line="216" w:lineRule="auto"/>
              <w:rPr>
                <w:rFonts w:ascii="Titillium Web" w:hAnsi="Titillium Web" w:eastAsia="Arial" w:cs="Arial"/>
                <w:color w:val="000000" w:themeColor="text1"/>
                <w:sz w:val="6"/>
                <w:szCs w:val="6"/>
                <w14:textFill>
                  <w14:solidFill>
                    <w14:schemeClr w14:val="tx1"/>
                  </w14:solidFill>
                </w14:textFill>
              </w:rPr>
            </w:pPr>
          </w:p>
          <w:p w14:paraId="3353184C">
            <w:pPr>
              <w:spacing w:line="192" w:lineRule="auto"/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Conoscere il funzionamento dell’organizzazione della scuola e il contesto socioculturale ed economico in cui essa agisce.</w:t>
            </w:r>
          </w:p>
          <w:p w14:paraId="15D7D861">
            <w:pPr>
              <w:spacing w:line="192" w:lineRule="auto"/>
              <w:rPr>
                <w:rFonts w:ascii="Titillium Web" w:hAnsi="Titillium Web" w:eastAsia="Arial" w:cs="Arial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  <w:p w14:paraId="1494C0A1">
            <w:pPr>
              <w:spacing w:line="216" w:lineRule="auto"/>
              <w:rPr>
                <w:rFonts w:ascii="Titillium Web" w:hAnsi="Titillium Web" w:eastAsia="Arial" w:cs="Arial"/>
                <w:color w:val="000000" w:themeColor="text1"/>
                <w:sz w:val="6"/>
                <w:szCs w:val="6"/>
                <w:shd w:val="clear" w:color="auto" w:fill="D9E1F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0" w:type="dxa"/>
            <w:vAlign w:val="center"/>
          </w:tcPr>
          <w:p w14:paraId="29AEAD97">
            <w:pPr>
              <w:jc w:val="center"/>
              <w:rPr>
                <w:rFonts w:ascii="Titillium Web" w:hAnsi="Titillium Web" w:eastAsia="Arial" w:cs="Arial"/>
                <w:color w:val="000000"/>
                <w:sz w:val="20"/>
                <w:szCs w:val="20"/>
                <w:shd w:val="clear" w:color="auto" w:fill="D9E1F2"/>
              </w:rPr>
            </w:pPr>
          </w:p>
        </w:tc>
      </w:tr>
      <w:tr w14:paraId="6836388F">
        <w:tblPrEx>
          <w:tblBorders>
            <w:top w:val="single" w:color="A6A6A6" w:sz="12" w:space="0"/>
            <w:left w:val="single" w:color="A6A6A6" w:sz="12" w:space="0"/>
            <w:bottom w:val="single" w:color="A6A6A6" w:sz="12" w:space="0"/>
            <w:right w:val="single" w:color="A6A6A6" w:sz="12" w:space="0"/>
            <w:insideH w:val="single" w:color="A6A6A6" w:sz="12" w:space="0"/>
            <w:insideV w:val="single" w:color="A6A6A6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3" w:type="dxa"/>
            <w:vMerge w:val="continue"/>
            <w:shd w:val="clear" w:color="auto" w:fill="B8CCE4" w:themeFill="accent1" w:themeFillTint="66"/>
            <w:vAlign w:val="center"/>
          </w:tcPr>
          <w:p w14:paraId="7D7E8B69">
            <w:pPr>
              <w:jc w:val="center"/>
              <w:rPr>
                <w:rFonts w:ascii="Titillium Web" w:hAnsi="Titillium Web" w:eastAsia="Arial" w:cs="Arial"/>
                <w:color w:val="000000"/>
                <w:sz w:val="20"/>
                <w:szCs w:val="20"/>
              </w:rPr>
            </w:pPr>
          </w:p>
        </w:tc>
        <w:tc>
          <w:tcPr>
            <w:tcW w:w="5328" w:type="dxa"/>
            <w:vAlign w:val="center"/>
          </w:tcPr>
          <w:p w14:paraId="7AB73CC4">
            <w:pPr>
              <w:spacing w:line="216" w:lineRule="auto"/>
              <w:rPr>
                <w:rFonts w:ascii="Titillium Web" w:hAnsi="Titillium Web" w:eastAsia="Arial" w:cs="Arial"/>
                <w:color w:val="000000" w:themeColor="text1"/>
                <w:sz w:val="8"/>
                <w:szCs w:val="8"/>
                <w14:textFill>
                  <w14:solidFill>
                    <w14:schemeClr w14:val="tx1"/>
                  </w14:solidFill>
                </w14:textFill>
              </w:rPr>
            </w:pPr>
          </w:p>
          <w:p w14:paraId="62A334B2">
            <w:pPr>
              <w:spacing w:line="192" w:lineRule="auto"/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Partecipare alla realizzazione delle iniziative educative deliberate e organizzate dalla scuola e/o proporne di nuove.</w:t>
            </w:r>
          </w:p>
          <w:p w14:paraId="2A29767E">
            <w:pPr>
              <w:spacing w:line="192" w:lineRule="auto"/>
              <w:rPr>
                <w:rFonts w:ascii="Titillium Web" w:hAnsi="Titillium Web" w:eastAsia="Arial" w:cs="Arial"/>
                <w:color w:val="000000" w:themeColor="text1"/>
                <w:sz w:val="4"/>
                <w:szCs w:val="4"/>
                <w14:textFill>
                  <w14:solidFill>
                    <w14:schemeClr w14:val="tx1"/>
                  </w14:solidFill>
                </w14:textFill>
              </w:rPr>
            </w:pPr>
          </w:p>
          <w:p w14:paraId="13B393D9">
            <w:pPr>
              <w:spacing w:line="216" w:lineRule="auto"/>
              <w:rPr>
                <w:rFonts w:ascii="Titillium Web" w:hAnsi="Titillium Web" w:eastAsia="Arial" w:cs="Arial"/>
                <w:color w:val="000000" w:themeColor="text1"/>
                <w:sz w:val="8"/>
                <w:szCs w:val="8"/>
                <w:shd w:val="clear" w:color="auto" w:fill="D9E1F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0" w:type="dxa"/>
            <w:vAlign w:val="center"/>
          </w:tcPr>
          <w:p w14:paraId="6B3B97AA">
            <w:pPr>
              <w:jc w:val="center"/>
              <w:rPr>
                <w:rFonts w:ascii="Titillium Web" w:hAnsi="Titillium Web" w:eastAsia="Arial" w:cs="Arial"/>
                <w:color w:val="000000"/>
                <w:sz w:val="20"/>
                <w:szCs w:val="20"/>
                <w:shd w:val="clear" w:color="auto" w:fill="D9E1F2"/>
              </w:rPr>
            </w:pPr>
          </w:p>
        </w:tc>
      </w:tr>
      <w:tr w14:paraId="4E32A5DE">
        <w:tblPrEx>
          <w:tblBorders>
            <w:top w:val="single" w:color="A6A6A6" w:sz="12" w:space="0"/>
            <w:left w:val="single" w:color="A6A6A6" w:sz="12" w:space="0"/>
            <w:bottom w:val="single" w:color="A6A6A6" w:sz="12" w:space="0"/>
            <w:right w:val="single" w:color="A6A6A6" w:sz="12" w:space="0"/>
            <w:insideH w:val="single" w:color="A6A6A6" w:sz="12" w:space="0"/>
            <w:insideV w:val="single" w:color="A6A6A6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3" w:type="dxa"/>
            <w:vMerge w:val="continue"/>
            <w:shd w:val="clear" w:color="auto" w:fill="B8CCE4" w:themeFill="accent1" w:themeFillTint="66"/>
            <w:vAlign w:val="center"/>
          </w:tcPr>
          <w:p w14:paraId="0324C40F">
            <w:pPr>
              <w:jc w:val="center"/>
              <w:rPr>
                <w:rFonts w:ascii="Titillium Web" w:hAnsi="Titillium Web" w:eastAsia="Arial" w:cs="Arial"/>
                <w:color w:val="000000"/>
                <w:sz w:val="20"/>
                <w:szCs w:val="20"/>
              </w:rPr>
            </w:pPr>
          </w:p>
        </w:tc>
        <w:tc>
          <w:tcPr>
            <w:tcW w:w="5328" w:type="dxa"/>
            <w:vAlign w:val="center"/>
          </w:tcPr>
          <w:p w14:paraId="34821B76">
            <w:pPr>
              <w:spacing w:line="216" w:lineRule="auto"/>
              <w:rPr>
                <w:rFonts w:ascii="Titillium Web" w:hAnsi="Titillium Web" w:eastAsia="Arial" w:cs="Arial"/>
                <w:color w:val="000000" w:themeColor="text1"/>
                <w:sz w:val="6"/>
                <w:szCs w:val="6"/>
                <w14:textFill>
                  <w14:solidFill>
                    <w14:schemeClr w14:val="tx1"/>
                  </w14:solidFill>
                </w14:textFill>
              </w:rPr>
            </w:pPr>
          </w:p>
          <w:p w14:paraId="7E64578E">
            <w:pPr>
              <w:spacing w:line="192" w:lineRule="auto"/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Partecipare attivamente all’organizzazione e alla gestione della scuola, lavorando in sinergia con il/la Dirigente e in collaborazione con il personale scolastico.</w:t>
            </w:r>
          </w:p>
          <w:p w14:paraId="6A7FE3AF">
            <w:pPr>
              <w:spacing w:line="192" w:lineRule="auto"/>
              <w:rPr>
                <w:rFonts w:ascii="Titillium Web" w:hAnsi="Titillium Web" w:eastAsia="Arial" w:cs="Arial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  <w:p w14:paraId="474EAF94">
            <w:pPr>
              <w:spacing w:line="216" w:lineRule="auto"/>
              <w:rPr>
                <w:rFonts w:ascii="Titillium Web" w:hAnsi="Titillium Web" w:eastAsia="Arial" w:cs="Arial"/>
                <w:color w:val="000000" w:themeColor="text1"/>
                <w:sz w:val="6"/>
                <w:szCs w:val="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0" w:type="dxa"/>
            <w:vAlign w:val="center"/>
          </w:tcPr>
          <w:p w14:paraId="30B29609">
            <w:pPr>
              <w:jc w:val="center"/>
              <w:rPr>
                <w:rFonts w:ascii="Titillium Web" w:hAnsi="Titillium Web" w:eastAsia="Arial" w:cs="Arial"/>
                <w:color w:val="000000"/>
                <w:sz w:val="20"/>
                <w:szCs w:val="20"/>
                <w:shd w:val="clear" w:color="auto" w:fill="D9E1F2"/>
              </w:rPr>
            </w:pPr>
          </w:p>
        </w:tc>
      </w:tr>
      <w:tr w14:paraId="11A9215D">
        <w:tblPrEx>
          <w:tblBorders>
            <w:top w:val="single" w:color="A6A6A6" w:sz="12" w:space="0"/>
            <w:left w:val="single" w:color="A6A6A6" w:sz="12" w:space="0"/>
            <w:bottom w:val="single" w:color="A6A6A6" w:sz="12" w:space="0"/>
            <w:right w:val="single" w:color="A6A6A6" w:sz="12" w:space="0"/>
            <w:insideH w:val="single" w:color="A6A6A6" w:sz="12" w:space="0"/>
            <w:insideV w:val="single" w:color="A6A6A6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3" w:type="dxa"/>
            <w:vMerge w:val="continue"/>
            <w:shd w:val="clear" w:color="auto" w:fill="B8CCE4" w:themeFill="accent1" w:themeFillTint="66"/>
            <w:vAlign w:val="center"/>
          </w:tcPr>
          <w:p w14:paraId="0812243F">
            <w:pPr>
              <w:jc w:val="center"/>
              <w:rPr>
                <w:rFonts w:ascii="Titillium Web" w:hAnsi="Titillium Web" w:eastAsia="Arial" w:cs="Arial"/>
                <w:color w:val="000000"/>
                <w:sz w:val="20"/>
                <w:szCs w:val="20"/>
              </w:rPr>
            </w:pPr>
          </w:p>
        </w:tc>
        <w:tc>
          <w:tcPr>
            <w:tcW w:w="5328" w:type="dxa"/>
            <w:vAlign w:val="center"/>
          </w:tcPr>
          <w:p w14:paraId="3B053C42">
            <w:pPr>
              <w:spacing w:line="216" w:lineRule="auto"/>
              <w:rPr>
                <w:rFonts w:ascii="Titillium Web" w:hAnsi="Titillium Web" w:eastAsia="Arial" w:cs="Arial"/>
                <w:color w:val="000000" w:themeColor="text1"/>
                <w:sz w:val="8"/>
                <w:szCs w:val="8"/>
                <w14:textFill>
                  <w14:solidFill>
                    <w14:schemeClr w14:val="tx1"/>
                  </w14:solidFill>
                </w14:textFill>
              </w:rPr>
            </w:pPr>
          </w:p>
          <w:p w14:paraId="52E592BB">
            <w:pPr>
              <w:spacing w:line="192" w:lineRule="auto"/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Favorire la partecipazione di studenti e studentesse alla vita organizzativa della scuola tenendo conto dell’età e delle inclinazioni di ognuno/a oltreché del contesto socioculturale e territoriale in cui la scuola agisce.</w:t>
            </w:r>
          </w:p>
          <w:p w14:paraId="4C3AF935">
            <w:pPr>
              <w:spacing w:line="192" w:lineRule="auto"/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tillium Web" w:hAnsi="Titillium Web" w:eastAsia="Arial" w:cs="Arial"/>
                <w:i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Per l‘infanzia</w:t>
            </w:r>
            <w:r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: favorire la partecipazione di bambini e bambine alle attività scolastiche legate alle </w:t>
            </w:r>
            <w:r>
              <w:rPr>
                <w:rFonts w:ascii="Titillium Web" w:hAnsi="Titillium Web" w:eastAsia="Arial" w:cs="Arial"/>
                <w:i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routine</w:t>
            </w:r>
            <w:r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quotidiane, tenendo conto dell’età, delle inclinazioni di ognuno/a oltreché del contesto socioculturale e territoriale in cui la scuola agisce.</w:t>
            </w:r>
          </w:p>
          <w:p w14:paraId="0D7747F7">
            <w:pPr>
              <w:spacing w:line="192" w:lineRule="auto"/>
              <w:rPr>
                <w:rFonts w:ascii="Titillium Web" w:hAnsi="Titillium Web" w:eastAsia="Arial" w:cs="Arial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  <w:p w14:paraId="34107CD0">
            <w:pPr>
              <w:spacing w:line="216" w:lineRule="auto"/>
              <w:rPr>
                <w:rFonts w:ascii="Titillium Web" w:hAnsi="Titillium Web" w:eastAsia="Arial" w:cs="Arial"/>
                <w:color w:val="000000" w:themeColor="text1"/>
                <w:sz w:val="8"/>
                <w:szCs w:val="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0" w:type="dxa"/>
            <w:vAlign w:val="center"/>
          </w:tcPr>
          <w:p w14:paraId="7791063C">
            <w:pPr>
              <w:jc w:val="center"/>
              <w:rPr>
                <w:rFonts w:ascii="Titillium Web" w:hAnsi="Titillium Web" w:eastAsia="Arial" w:cs="Arial"/>
                <w:color w:val="000000"/>
                <w:sz w:val="20"/>
                <w:szCs w:val="20"/>
                <w:shd w:val="clear" w:color="auto" w:fill="D9E1F2"/>
              </w:rPr>
            </w:pPr>
          </w:p>
        </w:tc>
      </w:tr>
      <w:tr w14:paraId="66B7638D">
        <w:tblPrEx>
          <w:tblBorders>
            <w:top w:val="single" w:color="A6A6A6" w:sz="12" w:space="0"/>
            <w:left w:val="single" w:color="A6A6A6" w:sz="12" w:space="0"/>
            <w:bottom w:val="single" w:color="A6A6A6" w:sz="12" w:space="0"/>
            <w:right w:val="single" w:color="A6A6A6" w:sz="12" w:space="0"/>
            <w:insideH w:val="single" w:color="A6A6A6" w:sz="12" w:space="0"/>
            <w:insideV w:val="single" w:color="A6A6A6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2071A01D">
            <w:pPr>
              <w:spacing w:line="180" w:lineRule="auto"/>
              <w:jc w:val="center"/>
              <w:rPr>
                <w:rFonts w:ascii="Titillium Web" w:hAnsi="Titillium Web" w:eastAsia="Arial" w:cs="Arial"/>
                <w:b/>
                <w:color w:val="17375E" w:themeColor="text2" w:themeShade="BF"/>
                <w:sz w:val="40"/>
                <w:szCs w:val="40"/>
              </w:rPr>
            </w:pPr>
            <w:r>
              <w:rPr>
                <w:rFonts w:ascii="Titillium Web" w:hAnsi="Titillium Web" w:eastAsia="Arial" w:cs="Arial"/>
                <w:b/>
                <w:color w:val="17375E" w:themeColor="text2" w:themeShade="BF"/>
                <w:sz w:val="20"/>
                <w:szCs w:val="20"/>
              </w:rPr>
              <w:t>Standard minimo</w:t>
            </w:r>
          </w:p>
          <w:p w14:paraId="42183C45">
            <w:pPr>
              <w:spacing w:line="180" w:lineRule="auto"/>
              <w:jc w:val="center"/>
              <w:rPr>
                <w:rFonts w:ascii="Titillium Web" w:hAnsi="Titillium Web" w:eastAsia="Arial" w:cs="Arial"/>
                <w:b/>
                <w:color w:val="17375E" w:themeColor="text2" w:themeShade="BF"/>
                <w:sz w:val="40"/>
                <w:szCs w:val="40"/>
              </w:rPr>
            </w:pPr>
            <w:r>
              <w:rPr>
                <w:rFonts w:ascii="Titillium Web" w:hAnsi="Titillium Web" w:eastAsia="Arial" w:cs="Arial"/>
                <w:b/>
                <w:color w:val="17375E" w:themeColor="text2" w:themeShade="BF"/>
                <w:sz w:val="40"/>
                <w:szCs w:val="40"/>
              </w:rPr>
              <w:t>6</w:t>
            </w:r>
          </w:p>
          <w:p w14:paraId="36CD04B3">
            <w:pPr>
              <w:spacing w:line="216" w:lineRule="auto"/>
              <w:jc w:val="center"/>
              <w:rPr>
                <w:rFonts w:ascii="Arial" w:hAnsi="Arial" w:eastAsia="Arial" w:cs="Arial"/>
                <w:color w:val="595959"/>
                <w:sz w:val="8"/>
                <w:szCs w:val="8"/>
              </w:rPr>
            </w:pPr>
          </w:p>
          <w:p w14:paraId="723A1480">
            <w:pPr>
              <w:spacing w:line="216" w:lineRule="auto"/>
              <w:jc w:val="center"/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</w:pPr>
            <w:r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  <w:t>Lavorare in modo collaborativo</w:t>
            </w:r>
          </w:p>
          <w:p w14:paraId="39316BA9">
            <w:pPr>
              <w:spacing w:line="216" w:lineRule="auto"/>
              <w:jc w:val="center"/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</w:pPr>
            <w:r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  <w:t>con la comunità professionale</w:t>
            </w:r>
          </w:p>
          <w:p w14:paraId="37FC014B">
            <w:pPr>
              <w:spacing w:line="216" w:lineRule="auto"/>
              <w:jc w:val="center"/>
              <w:rPr>
                <w:rFonts w:ascii="Titillium Web" w:hAnsi="Titillium Web" w:eastAsia="Arial" w:cs="Arial"/>
                <w:b/>
                <w:color w:val="000000"/>
                <w:sz w:val="10"/>
                <w:szCs w:val="10"/>
              </w:rPr>
            </w:pPr>
            <w:r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  <w:t>della scuola</w:t>
            </w:r>
          </w:p>
        </w:tc>
        <w:tc>
          <w:tcPr>
            <w:tcW w:w="5328" w:type="dxa"/>
            <w:vAlign w:val="center"/>
          </w:tcPr>
          <w:p w14:paraId="59CA7E59">
            <w:pPr>
              <w:spacing w:line="216" w:lineRule="auto"/>
              <w:rPr>
                <w:rFonts w:ascii="Titillium Web" w:hAnsi="Titillium Web" w:eastAsia="Arial" w:cs="Arial"/>
                <w:color w:val="000000" w:themeColor="text1"/>
                <w:sz w:val="8"/>
                <w:szCs w:val="8"/>
                <w14:textFill>
                  <w14:solidFill>
                    <w14:schemeClr w14:val="tx1"/>
                  </w14:solidFill>
                </w14:textFill>
              </w:rPr>
            </w:pPr>
          </w:p>
          <w:p w14:paraId="485E0FF2">
            <w:pPr>
              <w:spacing w:line="192" w:lineRule="auto"/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Collaborare alla creazione di gruppi di lavoro tra docenti e/o prendervi attivamente parte.</w:t>
            </w:r>
          </w:p>
          <w:p w14:paraId="5B969B2B">
            <w:pPr>
              <w:spacing w:line="192" w:lineRule="auto"/>
              <w:rPr>
                <w:rFonts w:ascii="Titillium Web" w:hAnsi="Titillium Web" w:eastAsia="Arial" w:cs="Arial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  <w:p w14:paraId="3BCB9BCF">
            <w:pPr>
              <w:spacing w:line="216" w:lineRule="auto"/>
              <w:rPr>
                <w:rFonts w:ascii="Titillium Web" w:hAnsi="Titillium Web" w:eastAsia="Arial" w:cs="Arial"/>
                <w:color w:val="000000" w:themeColor="text1"/>
                <w:sz w:val="6"/>
                <w:szCs w:val="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0" w:type="dxa"/>
            <w:vAlign w:val="center"/>
          </w:tcPr>
          <w:p w14:paraId="0D253037">
            <w:pPr>
              <w:jc w:val="center"/>
              <w:rPr>
                <w:rFonts w:ascii="Titillium Web" w:hAnsi="Titillium Web" w:eastAsia="Arial" w:cs="Arial"/>
                <w:color w:val="000000"/>
                <w:sz w:val="20"/>
                <w:szCs w:val="20"/>
                <w:shd w:val="clear" w:color="auto" w:fill="D9E1F2"/>
              </w:rPr>
            </w:pPr>
          </w:p>
        </w:tc>
      </w:tr>
      <w:tr w14:paraId="06F8A100">
        <w:tblPrEx>
          <w:tblBorders>
            <w:top w:val="single" w:color="A6A6A6" w:sz="12" w:space="0"/>
            <w:left w:val="single" w:color="A6A6A6" w:sz="12" w:space="0"/>
            <w:bottom w:val="single" w:color="A6A6A6" w:sz="12" w:space="0"/>
            <w:right w:val="single" w:color="A6A6A6" w:sz="12" w:space="0"/>
            <w:insideH w:val="single" w:color="A6A6A6" w:sz="12" w:space="0"/>
            <w:insideV w:val="single" w:color="A6A6A6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3" w:type="dxa"/>
            <w:vMerge w:val="continue"/>
            <w:shd w:val="clear" w:color="auto" w:fill="B8CCE4" w:themeFill="accent1" w:themeFillTint="66"/>
            <w:vAlign w:val="center"/>
          </w:tcPr>
          <w:p w14:paraId="2473138E">
            <w:pPr>
              <w:rPr>
                <w:rFonts w:ascii="Titillium Web" w:hAnsi="Titillium Web" w:eastAsia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328" w:type="dxa"/>
            <w:vAlign w:val="center"/>
          </w:tcPr>
          <w:p w14:paraId="6DC207AC">
            <w:pPr>
              <w:spacing w:line="216" w:lineRule="auto"/>
              <w:rPr>
                <w:rFonts w:ascii="Titillium Web" w:hAnsi="Titillium Web" w:eastAsia="Arial" w:cs="Arial"/>
                <w:color w:val="000000" w:themeColor="text1"/>
                <w:sz w:val="8"/>
                <w:szCs w:val="8"/>
                <w14:textFill>
                  <w14:solidFill>
                    <w14:schemeClr w14:val="tx1"/>
                  </w14:solidFill>
                </w14:textFill>
              </w:rPr>
            </w:pPr>
          </w:p>
          <w:p w14:paraId="47AD5090">
            <w:pPr>
              <w:spacing w:line="192" w:lineRule="auto"/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Coinvolgere in modo attivo altre figure presenti nella comunità educante.</w:t>
            </w:r>
          </w:p>
          <w:p w14:paraId="5EF8808C">
            <w:pPr>
              <w:spacing w:line="216" w:lineRule="auto"/>
              <w:rPr>
                <w:rFonts w:ascii="Titillium Web" w:hAnsi="Titillium Web" w:eastAsia="Arial" w:cs="Arial"/>
                <w:color w:val="000000" w:themeColor="text1"/>
                <w:sz w:val="8"/>
                <w:szCs w:val="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</w:tc>
        <w:tc>
          <w:tcPr>
            <w:tcW w:w="2100" w:type="dxa"/>
            <w:vAlign w:val="center"/>
          </w:tcPr>
          <w:p w14:paraId="7E686BB3">
            <w:pPr>
              <w:jc w:val="center"/>
              <w:rPr>
                <w:rFonts w:ascii="Titillium Web" w:hAnsi="Titillium Web" w:eastAsia="Arial" w:cs="Arial"/>
                <w:color w:val="000000"/>
                <w:sz w:val="20"/>
                <w:szCs w:val="20"/>
                <w:shd w:val="clear" w:color="auto" w:fill="D9E1F2"/>
              </w:rPr>
            </w:pPr>
          </w:p>
        </w:tc>
      </w:tr>
      <w:tr w14:paraId="299B6948">
        <w:tblPrEx>
          <w:tblBorders>
            <w:top w:val="single" w:color="A6A6A6" w:sz="12" w:space="0"/>
            <w:left w:val="single" w:color="A6A6A6" w:sz="12" w:space="0"/>
            <w:bottom w:val="single" w:color="A6A6A6" w:sz="12" w:space="0"/>
            <w:right w:val="single" w:color="A6A6A6" w:sz="12" w:space="0"/>
            <w:insideH w:val="single" w:color="A6A6A6" w:sz="12" w:space="0"/>
            <w:insideV w:val="single" w:color="A6A6A6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3" w:type="dxa"/>
            <w:vMerge w:val="continue"/>
            <w:shd w:val="clear" w:color="auto" w:fill="B8CCE4" w:themeFill="accent1" w:themeFillTint="66"/>
            <w:vAlign w:val="center"/>
          </w:tcPr>
          <w:p w14:paraId="0B4530EE">
            <w:pPr>
              <w:rPr>
                <w:rFonts w:ascii="Titillium Web" w:hAnsi="Titillium Web" w:eastAsia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328" w:type="dxa"/>
            <w:vAlign w:val="center"/>
          </w:tcPr>
          <w:p w14:paraId="7872C937">
            <w:pPr>
              <w:spacing w:line="216" w:lineRule="auto"/>
              <w:rPr>
                <w:rFonts w:ascii="Titillium Web" w:hAnsi="Titillium Web" w:eastAsia="Arial" w:cs="Arial"/>
                <w:color w:val="000000" w:themeColor="text1"/>
                <w:sz w:val="6"/>
                <w:szCs w:val="6"/>
                <w14:textFill>
                  <w14:solidFill>
                    <w14:schemeClr w14:val="tx1"/>
                  </w14:solidFill>
                </w14:textFill>
              </w:rPr>
            </w:pPr>
          </w:p>
          <w:p w14:paraId="669E2A01">
            <w:pPr>
              <w:spacing w:line="192" w:lineRule="auto"/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Condividere gli aspetti dei processi di insegnamento-apprendimento all’interno del team/Consiglio di Classe o del dipartimento anche in un’ottica di verticalità fra gli ordini di scuola.</w:t>
            </w:r>
          </w:p>
          <w:p w14:paraId="5CBE5F46">
            <w:pPr>
              <w:spacing w:line="216" w:lineRule="auto"/>
              <w:rPr>
                <w:rFonts w:ascii="Titillium Web" w:hAnsi="Titillium Web" w:eastAsia="Arial" w:cs="Arial"/>
                <w:color w:val="000000" w:themeColor="text1"/>
                <w:sz w:val="6"/>
                <w:szCs w:val="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0" w:type="dxa"/>
            <w:vAlign w:val="center"/>
          </w:tcPr>
          <w:p w14:paraId="0E59E463">
            <w:pPr>
              <w:jc w:val="center"/>
              <w:rPr>
                <w:rFonts w:ascii="Titillium Web" w:hAnsi="Titillium Web" w:eastAsia="Arial" w:cs="Arial"/>
                <w:color w:val="000000"/>
                <w:sz w:val="20"/>
                <w:szCs w:val="20"/>
                <w:shd w:val="clear" w:color="auto" w:fill="D9E1F2"/>
              </w:rPr>
            </w:pPr>
          </w:p>
        </w:tc>
      </w:tr>
      <w:tr w14:paraId="128A92C5">
        <w:tblPrEx>
          <w:tblBorders>
            <w:top w:val="single" w:color="A6A6A6" w:sz="12" w:space="0"/>
            <w:left w:val="single" w:color="A6A6A6" w:sz="12" w:space="0"/>
            <w:bottom w:val="single" w:color="A6A6A6" w:sz="12" w:space="0"/>
            <w:right w:val="single" w:color="A6A6A6" w:sz="12" w:space="0"/>
            <w:insideH w:val="single" w:color="A6A6A6" w:sz="12" w:space="0"/>
            <w:insideV w:val="single" w:color="A6A6A6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4A22B54A">
            <w:pPr>
              <w:spacing w:line="180" w:lineRule="auto"/>
              <w:jc w:val="center"/>
              <w:rPr>
                <w:rFonts w:ascii="Titillium Web" w:hAnsi="Titillium Web" w:eastAsia="Arial" w:cs="Arial"/>
                <w:b/>
                <w:color w:val="17375E" w:themeColor="text2" w:themeShade="BF"/>
                <w:sz w:val="40"/>
                <w:szCs w:val="40"/>
              </w:rPr>
            </w:pPr>
            <w:r>
              <w:rPr>
                <w:rFonts w:ascii="Titillium Web" w:hAnsi="Titillium Web" w:eastAsia="Arial" w:cs="Arial"/>
                <w:b/>
                <w:color w:val="17375E" w:themeColor="text2" w:themeShade="BF"/>
                <w:sz w:val="20"/>
                <w:szCs w:val="20"/>
              </w:rPr>
              <w:t>Standard minimo</w:t>
            </w:r>
          </w:p>
          <w:p w14:paraId="3091B253">
            <w:pPr>
              <w:spacing w:line="180" w:lineRule="auto"/>
              <w:jc w:val="center"/>
              <w:rPr>
                <w:rFonts w:ascii="Titillium Web" w:hAnsi="Titillium Web" w:eastAsia="Arial" w:cs="Arial"/>
                <w:b/>
                <w:color w:val="17375E" w:themeColor="text2" w:themeShade="BF"/>
                <w:sz w:val="40"/>
                <w:szCs w:val="40"/>
              </w:rPr>
            </w:pPr>
            <w:r>
              <w:rPr>
                <w:rFonts w:ascii="Titillium Web" w:hAnsi="Titillium Web" w:eastAsia="Arial" w:cs="Arial"/>
                <w:b/>
                <w:color w:val="17375E" w:themeColor="text2" w:themeShade="BF"/>
                <w:sz w:val="40"/>
                <w:szCs w:val="40"/>
              </w:rPr>
              <w:t>7</w:t>
            </w:r>
          </w:p>
          <w:p w14:paraId="6072D6D8">
            <w:pPr>
              <w:spacing w:line="216" w:lineRule="auto"/>
              <w:jc w:val="center"/>
              <w:rPr>
                <w:rFonts w:ascii="Arial" w:hAnsi="Arial" w:eastAsia="Arial" w:cs="Arial"/>
                <w:color w:val="595959"/>
                <w:sz w:val="8"/>
                <w:szCs w:val="8"/>
              </w:rPr>
            </w:pPr>
          </w:p>
          <w:p w14:paraId="30A8FB41">
            <w:pPr>
              <w:spacing w:line="216" w:lineRule="auto"/>
              <w:jc w:val="center"/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</w:pPr>
            <w:r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  <w:t xml:space="preserve">Instaurare rapporti positivi con i famigliari di studenti </w:t>
            </w:r>
          </w:p>
          <w:p w14:paraId="5DBBBDD6">
            <w:pPr>
              <w:spacing w:line="216" w:lineRule="auto"/>
              <w:jc w:val="center"/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</w:pPr>
            <w:r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  <w:t>e studentesse e con</w:t>
            </w:r>
          </w:p>
          <w:p w14:paraId="066E90B0">
            <w:pPr>
              <w:spacing w:line="216" w:lineRule="auto"/>
              <w:jc w:val="center"/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</w:pPr>
            <w:r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  <w:t>i partner istituzionali</w:t>
            </w:r>
          </w:p>
          <w:p w14:paraId="5AB17086">
            <w:pPr>
              <w:spacing w:line="216" w:lineRule="auto"/>
              <w:jc w:val="center"/>
              <w:rPr>
                <w:rFonts w:ascii="Titillium Web" w:hAnsi="Titillium Web" w:eastAsia="Arial" w:cs="Arial"/>
                <w:b/>
                <w:color w:val="000000"/>
                <w:sz w:val="10"/>
                <w:szCs w:val="10"/>
                <w:lang w:val="en-US"/>
              </w:rPr>
            </w:pPr>
            <w:r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  <w:t>e sociali</w:t>
            </w:r>
          </w:p>
        </w:tc>
        <w:tc>
          <w:tcPr>
            <w:tcW w:w="5328" w:type="dxa"/>
            <w:vAlign w:val="center"/>
          </w:tcPr>
          <w:p w14:paraId="6436B48C">
            <w:pPr>
              <w:spacing w:line="216" w:lineRule="auto"/>
              <w:rPr>
                <w:rFonts w:ascii="Titillium Web" w:hAnsi="Titillium Web" w:eastAsia="Arial" w:cs="Arial"/>
                <w:color w:val="000000" w:themeColor="text1"/>
                <w:sz w:val="6"/>
                <w:szCs w:val="6"/>
                <w14:textFill>
                  <w14:solidFill>
                    <w14:schemeClr w14:val="tx1"/>
                  </w14:solidFill>
                </w14:textFill>
              </w:rPr>
            </w:pPr>
          </w:p>
          <w:p w14:paraId="21B93FF8">
            <w:pPr>
              <w:spacing w:line="192" w:lineRule="auto"/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Favorire la partecipazione dei famigliari di studenti e studentesse alla vita organizzativa della scuola.</w:t>
            </w:r>
          </w:p>
          <w:p w14:paraId="5AD7D027">
            <w:pPr>
              <w:spacing w:line="216" w:lineRule="auto"/>
              <w:rPr>
                <w:rFonts w:ascii="Titillium Web" w:hAnsi="Titillium Web" w:eastAsia="Arial" w:cs="Arial"/>
                <w:color w:val="000000" w:themeColor="text1"/>
                <w:sz w:val="6"/>
                <w:szCs w:val="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0" w:type="dxa"/>
            <w:vAlign w:val="center"/>
          </w:tcPr>
          <w:p w14:paraId="245957D0">
            <w:pPr>
              <w:jc w:val="center"/>
              <w:rPr>
                <w:rFonts w:ascii="Titillium Web" w:hAnsi="Titillium Web" w:eastAsia="Arial" w:cs="Arial"/>
                <w:color w:val="000000"/>
                <w:sz w:val="20"/>
                <w:szCs w:val="20"/>
                <w:shd w:val="clear" w:color="auto" w:fill="D9E1F2"/>
              </w:rPr>
            </w:pPr>
          </w:p>
        </w:tc>
      </w:tr>
      <w:tr w14:paraId="0672C632">
        <w:tblPrEx>
          <w:tblBorders>
            <w:top w:val="single" w:color="A6A6A6" w:sz="12" w:space="0"/>
            <w:left w:val="single" w:color="A6A6A6" w:sz="12" w:space="0"/>
            <w:bottom w:val="single" w:color="A6A6A6" w:sz="12" w:space="0"/>
            <w:right w:val="single" w:color="A6A6A6" w:sz="12" w:space="0"/>
            <w:insideH w:val="single" w:color="A6A6A6" w:sz="12" w:space="0"/>
            <w:insideV w:val="single" w:color="A6A6A6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3" w:type="dxa"/>
            <w:vMerge w:val="continue"/>
            <w:shd w:val="clear" w:color="auto" w:fill="B8CCE4" w:themeFill="accent1" w:themeFillTint="66"/>
            <w:vAlign w:val="center"/>
          </w:tcPr>
          <w:p w14:paraId="692D38A0">
            <w:pPr>
              <w:rPr>
                <w:rFonts w:ascii="Titillium Web" w:hAnsi="Titillium Web" w:eastAsia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328" w:type="dxa"/>
            <w:vAlign w:val="center"/>
          </w:tcPr>
          <w:p w14:paraId="06E240A6">
            <w:pPr>
              <w:spacing w:line="216" w:lineRule="auto"/>
              <w:rPr>
                <w:rFonts w:ascii="Titillium Web" w:hAnsi="Titillium Web" w:eastAsia="Arial" w:cs="Arial"/>
                <w:color w:val="000000" w:themeColor="text1"/>
                <w:sz w:val="8"/>
                <w:szCs w:val="8"/>
                <w14:textFill>
                  <w14:solidFill>
                    <w14:schemeClr w14:val="tx1"/>
                  </w14:solidFill>
                </w14:textFill>
              </w:rPr>
            </w:pPr>
          </w:p>
          <w:p w14:paraId="30D6D0B6">
            <w:pPr>
              <w:spacing w:line="192" w:lineRule="auto"/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Comunicare ai famigliari di studenti e studentesse obiettivi didattici attesi/raggiunti, strategie di intervento ipotizzate/attuate, criteri di valutazione ed esiti finali conseguiti.</w:t>
            </w:r>
          </w:p>
          <w:p w14:paraId="3C1196A2">
            <w:pPr>
              <w:spacing w:line="216" w:lineRule="auto"/>
              <w:rPr>
                <w:rFonts w:ascii="Titillium Web" w:hAnsi="Titillium Web" w:eastAsia="Arial" w:cs="Arial"/>
                <w:color w:val="000000" w:themeColor="text1"/>
                <w:sz w:val="6"/>
                <w:szCs w:val="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0" w:type="dxa"/>
            <w:vAlign w:val="center"/>
          </w:tcPr>
          <w:p w14:paraId="09CC8764">
            <w:pPr>
              <w:jc w:val="center"/>
              <w:rPr>
                <w:rFonts w:ascii="Titillium Web" w:hAnsi="Titillium Web" w:eastAsia="Arial" w:cs="Arial"/>
                <w:color w:val="000000"/>
                <w:sz w:val="20"/>
                <w:szCs w:val="20"/>
                <w:shd w:val="clear" w:color="auto" w:fill="D9E1F2"/>
              </w:rPr>
            </w:pPr>
          </w:p>
        </w:tc>
      </w:tr>
      <w:tr w14:paraId="493AE630">
        <w:tblPrEx>
          <w:tblBorders>
            <w:top w:val="single" w:color="A6A6A6" w:sz="12" w:space="0"/>
            <w:left w:val="single" w:color="A6A6A6" w:sz="12" w:space="0"/>
            <w:bottom w:val="single" w:color="A6A6A6" w:sz="12" w:space="0"/>
            <w:right w:val="single" w:color="A6A6A6" w:sz="12" w:space="0"/>
            <w:insideH w:val="single" w:color="A6A6A6" w:sz="12" w:space="0"/>
            <w:insideV w:val="single" w:color="A6A6A6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3" w:type="dxa"/>
            <w:vMerge w:val="continue"/>
            <w:shd w:val="clear" w:color="auto" w:fill="B8CCE4" w:themeFill="accent1" w:themeFillTint="66"/>
            <w:vAlign w:val="center"/>
          </w:tcPr>
          <w:p w14:paraId="7C2A2ED9">
            <w:pPr>
              <w:rPr>
                <w:rFonts w:ascii="Titillium Web" w:hAnsi="Titillium Web" w:eastAsia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328" w:type="dxa"/>
            <w:vAlign w:val="center"/>
          </w:tcPr>
          <w:p w14:paraId="79542DFE">
            <w:pPr>
              <w:spacing w:line="216" w:lineRule="auto"/>
              <w:rPr>
                <w:rFonts w:ascii="Titillium Web" w:hAnsi="Titillium Web" w:eastAsia="Arial" w:cs="Arial"/>
                <w:color w:val="000000" w:themeColor="text1"/>
                <w:sz w:val="4"/>
                <w:szCs w:val="4"/>
                <w14:textFill>
                  <w14:solidFill>
                    <w14:schemeClr w14:val="tx1"/>
                  </w14:solidFill>
                </w14:textFill>
              </w:rPr>
            </w:pPr>
          </w:p>
          <w:p w14:paraId="2D757085">
            <w:pPr>
              <w:spacing w:line="216" w:lineRule="auto"/>
              <w:rPr>
                <w:rFonts w:ascii="Titillium Web" w:hAnsi="Titillium Web" w:eastAsia="Arial" w:cs="Arial"/>
                <w:color w:val="000000" w:themeColor="text1"/>
                <w:sz w:val="6"/>
                <w:szCs w:val="6"/>
                <w14:textFill>
                  <w14:solidFill>
                    <w14:schemeClr w14:val="tx1"/>
                  </w14:solidFill>
                </w14:textFill>
              </w:rPr>
            </w:pPr>
          </w:p>
          <w:p w14:paraId="0D6A72EA">
            <w:pPr>
              <w:spacing w:line="192" w:lineRule="auto"/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Cooperare con altre figure professionali coinvolte a vario titolo nei processi di apprendimento e di sviluppo di studenti e studentesse.</w:t>
            </w:r>
          </w:p>
          <w:p w14:paraId="47C73141">
            <w:pPr>
              <w:spacing w:line="216" w:lineRule="auto"/>
              <w:rPr>
                <w:rFonts w:ascii="Titillium Web" w:hAnsi="Titillium Web" w:eastAsia="Arial" w:cs="Arial"/>
                <w:color w:val="000000" w:themeColor="text1"/>
                <w:sz w:val="6"/>
                <w:szCs w:val="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0" w:type="dxa"/>
            <w:vAlign w:val="center"/>
          </w:tcPr>
          <w:p w14:paraId="3FB977EF">
            <w:pPr>
              <w:jc w:val="center"/>
              <w:rPr>
                <w:rFonts w:ascii="Titillium Web" w:hAnsi="Titillium Web" w:eastAsia="Arial" w:cs="Arial"/>
                <w:color w:val="000000"/>
                <w:sz w:val="20"/>
                <w:szCs w:val="20"/>
                <w:shd w:val="clear" w:color="auto" w:fill="D9E1F2"/>
              </w:rPr>
            </w:pPr>
          </w:p>
        </w:tc>
      </w:tr>
      <w:tr w14:paraId="59E19FD2">
        <w:tblPrEx>
          <w:tblBorders>
            <w:top w:val="single" w:color="A6A6A6" w:sz="12" w:space="0"/>
            <w:left w:val="single" w:color="A6A6A6" w:sz="12" w:space="0"/>
            <w:bottom w:val="single" w:color="A6A6A6" w:sz="12" w:space="0"/>
            <w:right w:val="single" w:color="A6A6A6" w:sz="12" w:space="0"/>
            <w:insideH w:val="single" w:color="A6A6A6" w:sz="12" w:space="0"/>
            <w:insideV w:val="single" w:color="A6A6A6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3" w:type="dxa"/>
            <w:vMerge w:val="continue"/>
            <w:shd w:val="clear" w:color="auto" w:fill="B8CCE4" w:themeFill="accent1" w:themeFillTint="66"/>
            <w:vAlign w:val="center"/>
          </w:tcPr>
          <w:p w14:paraId="739D9B86">
            <w:pPr>
              <w:rPr>
                <w:rFonts w:ascii="Titillium Web" w:hAnsi="Titillium Web" w:eastAsia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328" w:type="dxa"/>
            <w:tcBorders>
              <w:bottom w:val="single" w:color="A5A5A5" w:themeColor="background1" w:themeShade="A6" w:sz="12" w:space="0"/>
            </w:tcBorders>
            <w:vAlign w:val="center"/>
          </w:tcPr>
          <w:p w14:paraId="00644697">
            <w:pPr>
              <w:spacing w:line="216" w:lineRule="auto"/>
              <w:rPr>
                <w:rFonts w:ascii="Titillium Web" w:hAnsi="Titillium Web" w:eastAsia="Arial" w:cs="Arial"/>
                <w:color w:val="000000" w:themeColor="text1"/>
                <w:sz w:val="6"/>
                <w:szCs w:val="6"/>
                <w14:textFill>
                  <w14:solidFill>
                    <w14:schemeClr w14:val="tx1"/>
                  </w14:solidFill>
                </w14:textFill>
              </w:rPr>
            </w:pPr>
          </w:p>
          <w:p w14:paraId="21F4B958">
            <w:pPr>
              <w:spacing w:line="192" w:lineRule="auto"/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Contribuire allo sviluppo e alla gestione delle relazioni con i diversi interlocutori (enti locali, imprese, associazioni, fondazioni, università, organizzazioni della società civile e del terzo settore, ecc.).</w:t>
            </w:r>
          </w:p>
          <w:p w14:paraId="44771812">
            <w:pPr>
              <w:spacing w:line="192" w:lineRule="auto"/>
              <w:rPr>
                <w:rFonts w:ascii="Titillium Web" w:hAnsi="Titillium Web" w:eastAsia="Arial" w:cs="Arial"/>
                <w:color w:val="000000" w:themeColor="text1"/>
                <w:sz w:val="18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  <w:p w14:paraId="27E34E1F">
            <w:pPr>
              <w:spacing w:line="216" w:lineRule="auto"/>
              <w:rPr>
                <w:rFonts w:ascii="Titillium Web" w:hAnsi="Titillium Web" w:eastAsia="Arial" w:cs="Arial"/>
                <w:color w:val="000000" w:themeColor="text1"/>
                <w:sz w:val="6"/>
                <w:szCs w:val="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0" w:type="dxa"/>
            <w:tcBorders>
              <w:bottom w:val="single" w:color="A5A5A5" w:themeColor="background1" w:themeShade="A6" w:sz="12" w:space="0"/>
            </w:tcBorders>
            <w:vAlign w:val="center"/>
          </w:tcPr>
          <w:p w14:paraId="5638BE19">
            <w:pPr>
              <w:jc w:val="center"/>
              <w:rPr>
                <w:rFonts w:ascii="Titillium Web" w:hAnsi="Titillium Web" w:eastAsia="Arial" w:cs="Arial"/>
                <w:color w:val="000000"/>
                <w:sz w:val="20"/>
                <w:szCs w:val="20"/>
                <w:shd w:val="clear" w:color="auto" w:fill="D9E1F2"/>
              </w:rPr>
            </w:pPr>
          </w:p>
        </w:tc>
      </w:tr>
    </w:tbl>
    <w:p w14:paraId="3FBD13DB"/>
    <w:sectPr>
      <w:headerReference r:id="rId6" w:type="first"/>
      <w:footerReference r:id="rId8" w:type="first"/>
      <w:headerReference r:id="rId4" w:type="default"/>
      <w:footerReference r:id="rId7" w:type="default"/>
      <w:headerReference r:id="rId5" w:type="even"/>
      <w:endnotePr>
        <w:numFmt w:val="decimal"/>
      </w:endnotePr>
      <w:pgSz w:w="11900" w:h="16840"/>
      <w:pgMar w:top="1417" w:right="1134" w:bottom="1134" w:left="1134" w:header="708" w:footer="922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2">
    <w:p>
      <w:r>
        <w:separator/>
      </w:r>
    </w:p>
  </w:endnote>
  <w:endnote w:type="continuationSeparator" w:id="3">
    <w:p>
      <w:r>
        <w:continuationSeparator/>
      </w:r>
    </w:p>
  </w:endnote>
  <w:endnote w:id="0">
    <w:tbl>
      <w:tblPr>
        <w:tblStyle w:val="12"/>
        <w:tblW w:w="9781" w:type="dxa"/>
        <w:tblInd w:w="0" w:type="dxa"/>
        <w:tblBorders>
          <w:top w:val="single" w:color="A6A6A6" w:sz="12" w:space="0"/>
          <w:left w:val="single" w:color="A6A6A6" w:sz="12" w:space="0"/>
          <w:bottom w:val="single" w:color="A6A6A6" w:sz="12" w:space="0"/>
          <w:right w:val="single" w:color="A6A6A6" w:sz="12" w:space="0"/>
          <w:insideH w:val="single" w:color="A6A6A6" w:sz="12" w:space="0"/>
          <w:insideV w:val="single" w:color="A6A6A6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3"/>
        <w:gridCol w:w="5328"/>
        <w:gridCol w:w="2100"/>
      </w:tblGrid>
      <w:tr w14:paraId="0037AF65">
        <w:tblPrEx>
          <w:tblBorders>
            <w:top w:val="single" w:color="A6A6A6" w:sz="12" w:space="0"/>
            <w:left w:val="single" w:color="A6A6A6" w:sz="12" w:space="0"/>
            <w:bottom w:val="single" w:color="A6A6A6" w:sz="12" w:space="0"/>
            <w:right w:val="single" w:color="A6A6A6" w:sz="12" w:space="0"/>
            <w:insideH w:val="single" w:color="A6A6A6" w:sz="12" w:space="0"/>
            <w:insideV w:val="single" w:color="A6A6A6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81" w:type="dxa"/>
            <w:gridSpan w:val="3"/>
            <w:shd w:val="clear" w:color="auto" w:fill="95B3D7" w:themeFill="accent1" w:themeFillTint="99"/>
            <w:vAlign w:val="center"/>
          </w:tcPr>
          <w:p w14:paraId="64BEFA00">
            <w:pPr>
              <w:ind w:left="-113" w:right="-119"/>
              <w:jc w:val="center"/>
              <w:rPr>
                <w:rFonts w:ascii="Titillium Web" w:hAnsi="Titillium Web" w:eastAsia="Arial" w:cs="Arial"/>
                <w:b/>
                <w:color w:val="000000" w:themeColor="text1"/>
                <w:sz w:val="8"/>
                <w:szCs w:val="8"/>
                <w14:textFill>
                  <w14:solidFill>
                    <w14:schemeClr w14:val="tx1"/>
                  </w14:solidFill>
                </w14:textFill>
              </w:rPr>
            </w:pPr>
          </w:p>
          <w:p w14:paraId="0D89CF82">
            <w:pPr>
              <w:shd w:val="clear" w:color="auto" w:fill="95B3D7" w:themeFill="accent1" w:themeFillTint="99"/>
              <w:jc w:val="center"/>
              <w:rPr>
                <w:rFonts w:ascii="Titillium Web" w:hAnsi="Titillium Web" w:eastAsia="Arial" w:cs="Arial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tillium Web" w:hAnsi="Titillium Web" w:eastAsia="Arial" w:cs="Arial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C - PROFESSIONE</w:t>
            </w:r>
          </w:p>
          <w:p w14:paraId="7AEA6B37">
            <w:pPr>
              <w:shd w:val="clear" w:color="auto" w:fill="95B3D7" w:themeFill="accent1" w:themeFillTint="99"/>
              <w:jc w:val="center"/>
              <w:rPr>
                <w:rFonts w:ascii="Titillium Web" w:hAnsi="Titillium Web" w:eastAsia="Arial" w:cs="Arial"/>
                <w:b/>
                <w:i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tillium Web" w:hAnsi="Titillium Web" w:eastAsia="Arial" w:cs="Arial"/>
                <w:b/>
                <w:i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Area della formazione continua, della cura della professionalità e dello sviluppo di nuove responsabilità</w:t>
            </w:r>
          </w:p>
          <w:p w14:paraId="0E2017A4">
            <w:pPr>
              <w:jc w:val="center"/>
              <w:rPr>
                <w:rFonts w:ascii="Titillium Web" w:hAnsi="Titillium Web" w:eastAsia="Arial" w:cs="Arial"/>
                <w:b/>
                <w:color w:val="000000" w:themeColor="text1"/>
                <w:sz w:val="8"/>
                <w:szCs w:val="8"/>
                <w:shd w:val="clear" w:color="auto" w:fill="D9E1F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8DDF53">
        <w:tblPrEx>
          <w:tblBorders>
            <w:top w:val="single" w:color="A6A6A6" w:sz="12" w:space="0"/>
            <w:left w:val="single" w:color="A6A6A6" w:sz="12" w:space="0"/>
            <w:bottom w:val="single" w:color="A6A6A6" w:sz="12" w:space="0"/>
            <w:right w:val="single" w:color="A6A6A6" w:sz="12" w:space="0"/>
            <w:insideH w:val="single" w:color="A6A6A6" w:sz="12" w:space="0"/>
            <w:insideV w:val="single" w:color="A6A6A6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73506DBC">
            <w:pPr>
              <w:spacing w:line="216" w:lineRule="auto"/>
              <w:jc w:val="center"/>
              <w:rPr>
                <w:rFonts w:ascii="Titillium Web" w:hAnsi="Titillium Web" w:eastAsia="Arial" w:cs="Arial"/>
                <w:b/>
                <w:color w:val="17375E" w:themeColor="text2" w:themeShade="BF"/>
                <w:sz w:val="20"/>
                <w:szCs w:val="20"/>
              </w:rPr>
            </w:pPr>
          </w:p>
          <w:p w14:paraId="6F8EC067">
            <w:pPr>
              <w:spacing w:line="180" w:lineRule="auto"/>
              <w:jc w:val="center"/>
              <w:rPr>
                <w:rFonts w:ascii="Titillium Web" w:hAnsi="Titillium Web" w:eastAsia="Arial" w:cs="Arial"/>
                <w:b/>
                <w:color w:val="17375E" w:themeColor="text2" w:themeShade="BF"/>
                <w:sz w:val="32"/>
                <w:szCs w:val="32"/>
              </w:rPr>
            </w:pPr>
            <w:r>
              <w:rPr>
                <w:rFonts w:ascii="Titillium Web" w:hAnsi="Titillium Web" w:eastAsia="Arial" w:cs="Arial"/>
                <w:b/>
                <w:color w:val="17375E" w:themeColor="text2" w:themeShade="BF"/>
                <w:sz w:val="20"/>
                <w:szCs w:val="20"/>
              </w:rPr>
              <w:t>Standard minimo</w:t>
            </w:r>
          </w:p>
          <w:p w14:paraId="5278286D">
            <w:pPr>
              <w:spacing w:line="180" w:lineRule="auto"/>
              <w:jc w:val="center"/>
              <w:rPr>
                <w:rFonts w:ascii="Titillium Web" w:hAnsi="Titillium Web" w:eastAsia="Arial" w:cs="Arial"/>
                <w:b/>
                <w:color w:val="17375E" w:themeColor="text2" w:themeShade="BF"/>
                <w:sz w:val="40"/>
                <w:szCs w:val="40"/>
              </w:rPr>
            </w:pPr>
            <w:r>
              <w:rPr>
                <w:rFonts w:ascii="Titillium Web" w:hAnsi="Titillium Web" w:eastAsia="Arial" w:cs="Arial"/>
                <w:b/>
                <w:color w:val="17375E" w:themeColor="text2" w:themeShade="BF"/>
                <w:sz w:val="40"/>
                <w:szCs w:val="40"/>
              </w:rPr>
              <w:t>8</w:t>
            </w:r>
          </w:p>
          <w:p w14:paraId="66B3C4EC">
            <w:pPr>
              <w:spacing w:line="216" w:lineRule="auto"/>
              <w:jc w:val="center"/>
              <w:rPr>
                <w:rFonts w:ascii="Arial" w:hAnsi="Arial" w:eastAsia="Arial" w:cs="Arial"/>
                <w:color w:val="595959"/>
                <w:sz w:val="8"/>
                <w:szCs w:val="8"/>
              </w:rPr>
            </w:pPr>
          </w:p>
          <w:p w14:paraId="19967E15">
            <w:pPr>
              <w:spacing w:line="216" w:lineRule="auto"/>
              <w:jc w:val="center"/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</w:pPr>
            <w:r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  <w:t>Impegnarsi</w:t>
            </w:r>
          </w:p>
          <w:p w14:paraId="3D6FB822">
            <w:pPr>
              <w:spacing w:line="216" w:lineRule="auto"/>
              <w:jc w:val="center"/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</w:pPr>
            <w:r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  <w:t>nella formazione continua</w:t>
            </w:r>
          </w:p>
          <w:p w14:paraId="01F7B54A">
            <w:pPr>
              <w:spacing w:line="216" w:lineRule="auto"/>
              <w:jc w:val="center"/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</w:pPr>
            <w:r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  <w:t>e nello sviluppo professionale, integrando i nuclei basilari dei saperi</w:t>
            </w:r>
          </w:p>
          <w:p w14:paraId="16F28F8F">
            <w:pPr>
              <w:spacing w:line="216" w:lineRule="auto"/>
              <w:jc w:val="center"/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</w:pPr>
            <w:r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  <w:t>e della didattica specifici per i propri insegnamenti,</w:t>
            </w:r>
          </w:p>
          <w:p w14:paraId="727A12DA">
            <w:pPr>
              <w:spacing w:line="216" w:lineRule="auto"/>
              <w:jc w:val="center"/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</w:pPr>
            <w:r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  <w:t>con la capacità</w:t>
            </w:r>
          </w:p>
          <w:p w14:paraId="503224FD">
            <w:pPr>
              <w:spacing w:line="216" w:lineRule="auto"/>
              <w:jc w:val="center"/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</w:pPr>
            <w:r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  <w:t>di progettare didatticamente e gestire con flessibilità gruppi-classe/interclasse</w:t>
            </w:r>
          </w:p>
          <w:p w14:paraId="2EC1D80D">
            <w:pPr>
              <w:spacing w:line="216" w:lineRule="auto"/>
              <w:jc w:val="center"/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</w:pPr>
            <w:r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  <w:t>per la personalizzazione e valorizzazione</w:t>
            </w:r>
          </w:p>
          <w:p w14:paraId="5D8A31E7">
            <w:pPr>
              <w:spacing w:line="216" w:lineRule="auto"/>
              <w:jc w:val="center"/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</w:pPr>
            <w:r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  <w:t>dei talenti e lo sviluppo di competenze trasversali</w:t>
            </w:r>
          </w:p>
          <w:p w14:paraId="19A95A30">
            <w:pPr>
              <w:spacing w:line="216" w:lineRule="auto"/>
              <w:jc w:val="center"/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</w:pPr>
            <w:r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  <w:t>e comunicative</w:t>
            </w:r>
          </w:p>
          <w:p w14:paraId="10F5B32A">
            <w:pPr>
              <w:spacing w:line="216" w:lineRule="auto"/>
              <w:rPr>
                <w:rFonts w:ascii="Titillium Web" w:hAnsi="Titillium Web" w:eastAsia="Arial" w:cs="Arial"/>
                <w:b/>
                <w:color w:val="595959"/>
                <w:sz w:val="20"/>
                <w:szCs w:val="20"/>
              </w:rPr>
            </w:pPr>
          </w:p>
          <w:p w14:paraId="3CE70FED">
            <w:pPr>
              <w:spacing w:line="216" w:lineRule="auto"/>
              <w:jc w:val="center"/>
              <w:rPr>
                <w:rFonts w:ascii="Titillium Web" w:hAnsi="Titillium Web" w:eastAsia="Arial" w:cs="Arial"/>
                <w:b/>
                <w:color w:val="000000"/>
                <w:sz w:val="12"/>
                <w:szCs w:val="12"/>
              </w:rPr>
            </w:pPr>
          </w:p>
        </w:tc>
        <w:tc>
          <w:tcPr>
            <w:tcW w:w="5328" w:type="dxa"/>
            <w:vAlign w:val="center"/>
          </w:tcPr>
          <w:p w14:paraId="075ABD62">
            <w:pPr>
              <w:rPr>
                <w:rFonts w:ascii="Titillium Web" w:hAnsi="Titillium Web" w:eastAsia="Arial" w:cs="Arial"/>
                <w:color w:val="000000" w:themeColor="text1"/>
                <w:sz w:val="10"/>
                <w:szCs w:val="10"/>
                <w14:textFill>
                  <w14:solidFill>
                    <w14:schemeClr w14:val="tx1"/>
                  </w14:solidFill>
                </w14:textFill>
              </w:rPr>
            </w:pPr>
          </w:p>
          <w:p w14:paraId="3F201A9D">
            <w:pPr>
              <w:spacing w:line="192" w:lineRule="auto"/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Partecipare periodicamente ad attività di formazione e di aggiornamento.</w:t>
            </w:r>
          </w:p>
          <w:p w14:paraId="4DA9D3D9">
            <w:pPr>
              <w:rPr>
                <w:rFonts w:ascii="Titillium Web" w:hAnsi="Titillium Web" w:eastAsia="Arial" w:cs="Arial"/>
                <w:color w:val="000000" w:themeColor="text1"/>
                <w:sz w:val="10"/>
                <w:szCs w:val="1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0" w:type="dxa"/>
            <w:vAlign w:val="center"/>
          </w:tcPr>
          <w:p w14:paraId="07310B5F">
            <w:pPr>
              <w:jc w:val="center"/>
              <w:rPr>
                <w:rFonts w:ascii="Titillium Web" w:hAnsi="Titillium Web" w:eastAsia="Arial" w:cs="Arial"/>
                <w:color w:val="000000"/>
                <w:sz w:val="20"/>
                <w:szCs w:val="20"/>
                <w:shd w:val="clear" w:color="auto" w:fill="D9E1F2"/>
              </w:rPr>
            </w:pPr>
          </w:p>
        </w:tc>
      </w:tr>
      <w:tr w14:paraId="19599934">
        <w:tblPrEx>
          <w:tblBorders>
            <w:top w:val="single" w:color="A6A6A6" w:sz="12" w:space="0"/>
            <w:left w:val="single" w:color="A6A6A6" w:sz="12" w:space="0"/>
            <w:bottom w:val="single" w:color="A6A6A6" w:sz="12" w:space="0"/>
            <w:right w:val="single" w:color="A6A6A6" w:sz="12" w:space="0"/>
            <w:insideH w:val="single" w:color="A6A6A6" w:sz="12" w:space="0"/>
            <w:insideV w:val="single" w:color="A6A6A6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3" w:type="dxa"/>
            <w:vMerge w:val="continue"/>
            <w:shd w:val="clear" w:color="auto" w:fill="B8CCE4" w:themeFill="accent1" w:themeFillTint="66"/>
            <w:vAlign w:val="center"/>
          </w:tcPr>
          <w:p w14:paraId="00BD6C9E">
            <w:pPr>
              <w:rPr>
                <w:rFonts w:ascii="Titillium Web" w:hAnsi="Titillium Web" w:eastAsia="Arial" w:cs="Arial"/>
                <w:color w:val="000000"/>
                <w:sz w:val="20"/>
                <w:szCs w:val="20"/>
              </w:rPr>
            </w:pPr>
          </w:p>
        </w:tc>
        <w:tc>
          <w:tcPr>
            <w:tcW w:w="5328" w:type="dxa"/>
            <w:vAlign w:val="center"/>
          </w:tcPr>
          <w:p w14:paraId="7DFC8771">
            <w:pPr>
              <w:rPr>
                <w:rFonts w:ascii="Titillium Web" w:hAnsi="Titillium Web" w:eastAsia="Arial" w:cs="Arial"/>
                <w:color w:val="000000" w:themeColor="text1"/>
                <w:sz w:val="10"/>
                <w:szCs w:val="10"/>
                <w14:textFill>
                  <w14:solidFill>
                    <w14:schemeClr w14:val="tx1"/>
                  </w14:solidFill>
                </w14:textFill>
              </w:rPr>
            </w:pPr>
          </w:p>
          <w:p w14:paraId="5BE4F409">
            <w:pPr>
              <w:spacing w:line="192" w:lineRule="auto"/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Utilizzare fonti culturali diverse per potenziare conoscenze e competenze di insegnamento.</w:t>
            </w:r>
          </w:p>
          <w:p w14:paraId="7972D78E">
            <w:pPr>
              <w:rPr>
                <w:rFonts w:ascii="Titillium Web" w:hAnsi="Titillium Web" w:eastAsia="Arial" w:cs="Arial"/>
                <w:color w:val="000000" w:themeColor="text1"/>
                <w:sz w:val="10"/>
                <w:szCs w:val="1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0" w:type="dxa"/>
            <w:vAlign w:val="center"/>
          </w:tcPr>
          <w:p w14:paraId="45C45E11">
            <w:pPr>
              <w:jc w:val="center"/>
              <w:rPr>
                <w:rFonts w:ascii="Titillium Web" w:hAnsi="Titillium Web" w:eastAsia="Arial" w:cs="Arial"/>
                <w:color w:val="000000"/>
                <w:sz w:val="20"/>
                <w:szCs w:val="20"/>
                <w:shd w:val="clear" w:color="auto" w:fill="D9E1F2"/>
              </w:rPr>
            </w:pPr>
          </w:p>
        </w:tc>
      </w:tr>
      <w:tr w14:paraId="73AD0FD1">
        <w:tblPrEx>
          <w:tblBorders>
            <w:top w:val="single" w:color="A6A6A6" w:sz="12" w:space="0"/>
            <w:left w:val="single" w:color="A6A6A6" w:sz="12" w:space="0"/>
            <w:bottom w:val="single" w:color="A6A6A6" w:sz="12" w:space="0"/>
            <w:right w:val="single" w:color="A6A6A6" w:sz="12" w:space="0"/>
            <w:insideH w:val="single" w:color="A6A6A6" w:sz="12" w:space="0"/>
            <w:insideV w:val="single" w:color="A6A6A6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3" w:type="dxa"/>
            <w:vMerge w:val="continue"/>
            <w:shd w:val="clear" w:color="auto" w:fill="B8CCE4" w:themeFill="accent1" w:themeFillTint="66"/>
            <w:vAlign w:val="center"/>
          </w:tcPr>
          <w:p w14:paraId="1D57305E">
            <w:pPr>
              <w:rPr>
                <w:rFonts w:ascii="Titillium Web" w:hAnsi="Titillium Web" w:eastAsia="Arial" w:cs="Arial"/>
                <w:color w:val="000000"/>
                <w:sz w:val="20"/>
                <w:szCs w:val="20"/>
              </w:rPr>
            </w:pPr>
          </w:p>
        </w:tc>
        <w:tc>
          <w:tcPr>
            <w:tcW w:w="5328" w:type="dxa"/>
            <w:vAlign w:val="center"/>
          </w:tcPr>
          <w:p w14:paraId="34E73CC6">
            <w:pPr>
              <w:rPr>
                <w:rFonts w:ascii="Titillium Web" w:hAnsi="Titillium Web" w:eastAsia="Arial" w:cs="Arial"/>
                <w:color w:val="000000" w:themeColor="text1"/>
                <w:sz w:val="10"/>
                <w:szCs w:val="10"/>
                <w14:textFill>
                  <w14:solidFill>
                    <w14:schemeClr w14:val="tx1"/>
                  </w14:solidFill>
                </w14:textFill>
              </w:rPr>
            </w:pPr>
          </w:p>
          <w:p w14:paraId="26133B5E">
            <w:pPr>
              <w:spacing w:line="192" w:lineRule="auto"/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Attivare collaborazioni professionalizzanti tra colleghi/e della propria scuola o di altre istituzioni educative nazionali ed internazionali.</w:t>
            </w:r>
          </w:p>
          <w:p w14:paraId="4AD94AE8">
            <w:pPr>
              <w:rPr>
                <w:rFonts w:ascii="Titillium Web" w:hAnsi="Titillium Web" w:eastAsia="Arial" w:cs="Arial"/>
                <w:color w:val="000000" w:themeColor="text1"/>
                <w:sz w:val="10"/>
                <w:szCs w:val="1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0" w:type="dxa"/>
            <w:vAlign w:val="center"/>
          </w:tcPr>
          <w:p w14:paraId="0D1B843F">
            <w:pPr>
              <w:jc w:val="center"/>
              <w:rPr>
                <w:rFonts w:ascii="Titillium Web" w:hAnsi="Titillium Web" w:eastAsia="Arial" w:cs="Arial"/>
                <w:color w:val="000000"/>
                <w:sz w:val="20"/>
                <w:szCs w:val="20"/>
                <w:shd w:val="clear" w:color="auto" w:fill="D9E1F2"/>
              </w:rPr>
            </w:pPr>
          </w:p>
        </w:tc>
      </w:tr>
      <w:tr w14:paraId="109967B9">
        <w:tblPrEx>
          <w:tblBorders>
            <w:top w:val="single" w:color="A6A6A6" w:sz="12" w:space="0"/>
            <w:left w:val="single" w:color="A6A6A6" w:sz="12" w:space="0"/>
            <w:bottom w:val="single" w:color="A6A6A6" w:sz="12" w:space="0"/>
            <w:right w:val="single" w:color="A6A6A6" w:sz="12" w:space="0"/>
            <w:insideH w:val="single" w:color="A6A6A6" w:sz="12" w:space="0"/>
            <w:insideV w:val="single" w:color="A6A6A6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3" w:type="dxa"/>
            <w:vMerge w:val="continue"/>
            <w:shd w:val="clear" w:color="auto" w:fill="B8CCE4" w:themeFill="accent1" w:themeFillTint="66"/>
            <w:vAlign w:val="center"/>
          </w:tcPr>
          <w:p w14:paraId="5144C833">
            <w:pPr>
              <w:rPr>
                <w:rFonts w:ascii="Titillium Web" w:hAnsi="Titillium Web" w:eastAsia="Arial" w:cs="Arial"/>
                <w:color w:val="000000"/>
                <w:sz w:val="20"/>
                <w:szCs w:val="20"/>
              </w:rPr>
            </w:pPr>
          </w:p>
        </w:tc>
        <w:tc>
          <w:tcPr>
            <w:tcW w:w="5328" w:type="dxa"/>
            <w:vAlign w:val="center"/>
          </w:tcPr>
          <w:p w14:paraId="56C12F5B">
            <w:pPr>
              <w:rPr>
                <w:rFonts w:ascii="Titillium Web" w:hAnsi="Titillium Web" w:eastAsia="Arial" w:cs="Arial"/>
                <w:color w:val="000000" w:themeColor="text1"/>
                <w:sz w:val="10"/>
                <w:szCs w:val="10"/>
                <w14:textFill>
                  <w14:solidFill>
                    <w14:schemeClr w14:val="tx1"/>
                  </w14:solidFill>
                </w14:textFill>
              </w:rPr>
            </w:pPr>
          </w:p>
          <w:p w14:paraId="4C42A64D">
            <w:pPr>
              <w:spacing w:line="192" w:lineRule="auto"/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Utilizzare le esperienze di crescita professionale per riprogettare l’azione didattica.</w:t>
            </w:r>
          </w:p>
          <w:p w14:paraId="33F2B58F">
            <w:pPr>
              <w:rPr>
                <w:rFonts w:ascii="Titillium Web" w:hAnsi="Titillium Web" w:eastAsia="Arial" w:cs="Arial"/>
                <w:color w:val="000000" w:themeColor="text1"/>
                <w:sz w:val="10"/>
                <w:szCs w:val="1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0" w:type="dxa"/>
            <w:vAlign w:val="center"/>
          </w:tcPr>
          <w:p w14:paraId="012C03C6">
            <w:pPr>
              <w:jc w:val="center"/>
              <w:rPr>
                <w:rFonts w:ascii="Titillium Web" w:hAnsi="Titillium Web" w:eastAsia="Arial" w:cs="Arial"/>
                <w:color w:val="000000"/>
                <w:sz w:val="20"/>
                <w:szCs w:val="20"/>
                <w:shd w:val="clear" w:color="auto" w:fill="D9E1F2"/>
              </w:rPr>
            </w:pPr>
          </w:p>
        </w:tc>
      </w:tr>
      <w:tr w14:paraId="5E4050D5">
        <w:tblPrEx>
          <w:tblBorders>
            <w:top w:val="single" w:color="A6A6A6" w:sz="12" w:space="0"/>
            <w:left w:val="single" w:color="A6A6A6" w:sz="12" w:space="0"/>
            <w:bottom w:val="single" w:color="A6A6A6" w:sz="12" w:space="0"/>
            <w:right w:val="single" w:color="A6A6A6" w:sz="12" w:space="0"/>
            <w:insideH w:val="single" w:color="A6A6A6" w:sz="12" w:space="0"/>
            <w:insideV w:val="single" w:color="A6A6A6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3" w:type="dxa"/>
            <w:vMerge w:val="continue"/>
            <w:shd w:val="clear" w:color="auto" w:fill="B8CCE4" w:themeFill="accent1" w:themeFillTint="66"/>
            <w:vAlign w:val="center"/>
          </w:tcPr>
          <w:p w14:paraId="682CDECD">
            <w:pPr>
              <w:rPr>
                <w:rFonts w:ascii="Titillium Web" w:hAnsi="Titillium Web" w:eastAsia="Arial" w:cs="Arial"/>
                <w:color w:val="000000"/>
                <w:sz w:val="20"/>
                <w:szCs w:val="20"/>
              </w:rPr>
            </w:pPr>
          </w:p>
        </w:tc>
        <w:tc>
          <w:tcPr>
            <w:tcW w:w="5328" w:type="dxa"/>
            <w:vAlign w:val="center"/>
          </w:tcPr>
          <w:p w14:paraId="1C6C4577">
            <w:pPr>
              <w:rPr>
                <w:rFonts w:ascii="Titillium Web" w:hAnsi="Titillium Web" w:eastAsia="Arial" w:cs="Arial"/>
                <w:color w:val="000000" w:themeColor="text1"/>
                <w:sz w:val="10"/>
                <w:szCs w:val="10"/>
                <w14:textFill>
                  <w14:solidFill>
                    <w14:schemeClr w14:val="tx1"/>
                  </w14:solidFill>
                </w14:textFill>
              </w:rPr>
            </w:pPr>
          </w:p>
          <w:p w14:paraId="00B1A014">
            <w:pPr>
              <w:spacing w:line="192" w:lineRule="auto"/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Adottare metodologie e prassi frutto della ricerca educativa o derivanti dallo sviluppo di conoscenze e competenze acquisite nel proprio ambito professionale e d’insegnamento.</w:t>
            </w:r>
          </w:p>
          <w:p w14:paraId="3956DB6F">
            <w:pPr>
              <w:rPr>
                <w:rFonts w:ascii="Titillium Web" w:hAnsi="Titillium Web" w:eastAsia="Arial" w:cs="Arial"/>
                <w:color w:val="000000" w:themeColor="text1"/>
                <w:sz w:val="10"/>
                <w:szCs w:val="1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0" w:type="dxa"/>
            <w:vAlign w:val="center"/>
          </w:tcPr>
          <w:p w14:paraId="542D05B2">
            <w:pPr>
              <w:jc w:val="center"/>
              <w:rPr>
                <w:rFonts w:ascii="Titillium Web" w:hAnsi="Titillium Web" w:eastAsia="Arial" w:cs="Arial"/>
                <w:color w:val="000000"/>
                <w:sz w:val="20"/>
                <w:szCs w:val="20"/>
                <w:shd w:val="clear" w:color="auto" w:fill="D9E1F2"/>
              </w:rPr>
            </w:pPr>
          </w:p>
        </w:tc>
      </w:tr>
      <w:tr w14:paraId="1F0855EA">
        <w:tblPrEx>
          <w:tblBorders>
            <w:top w:val="single" w:color="A6A6A6" w:sz="12" w:space="0"/>
            <w:left w:val="single" w:color="A6A6A6" w:sz="12" w:space="0"/>
            <w:bottom w:val="single" w:color="A6A6A6" w:sz="12" w:space="0"/>
            <w:right w:val="single" w:color="A6A6A6" w:sz="12" w:space="0"/>
            <w:insideH w:val="single" w:color="A6A6A6" w:sz="12" w:space="0"/>
            <w:insideV w:val="single" w:color="A6A6A6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3" w:type="dxa"/>
            <w:vMerge w:val="continue"/>
            <w:shd w:val="clear" w:color="auto" w:fill="B8CCE4" w:themeFill="accent1" w:themeFillTint="66"/>
            <w:vAlign w:val="center"/>
          </w:tcPr>
          <w:p w14:paraId="6469ED0B">
            <w:pPr>
              <w:rPr>
                <w:rFonts w:ascii="Titillium Web" w:hAnsi="Titillium Web" w:eastAsia="Arial" w:cs="Arial"/>
                <w:color w:val="000000"/>
                <w:sz w:val="20"/>
                <w:szCs w:val="20"/>
              </w:rPr>
            </w:pPr>
          </w:p>
        </w:tc>
        <w:tc>
          <w:tcPr>
            <w:tcW w:w="5328" w:type="dxa"/>
          </w:tcPr>
          <w:p w14:paraId="4EB7ADE4">
            <w:pPr>
              <w:rPr>
                <w:rFonts w:ascii="Titillium Web" w:hAnsi="Titillium Web" w:eastAsia="Arial" w:cs="Arial"/>
                <w:color w:val="000000" w:themeColor="text1"/>
                <w:sz w:val="10"/>
                <w:szCs w:val="10"/>
                <w14:textFill>
                  <w14:solidFill>
                    <w14:schemeClr w14:val="tx1"/>
                  </w14:solidFill>
                </w14:textFill>
              </w:rPr>
            </w:pPr>
          </w:p>
          <w:p w14:paraId="7796D712">
            <w:pPr>
              <w:spacing w:line="192" w:lineRule="auto"/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tillium Web" w:hAnsi="Titillium Web" w:eastAsia="Arial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Monitorare con metodicità il proprio sviluppo professionale in un’ottica di formazione continua.</w:t>
            </w:r>
          </w:p>
          <w:p w14:paraId="70C5C62C">
            <w:pPr>
              <w:rPr>
                <w:rFonts w:ascii="Titillium Web" w:hAnsi="Titillium Web" w:eastAsia="Arial" w:cs="Arial"/>
                <w:color w:val="000000" w:themeColor="text1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0" w:type="dxa"/>
            <w:vAlign w:val="center"/>
          </w:tcPr>
          <w:p w14:paraId="6E5070E8">
            <w:pPr>
              <w:jc w:val="center"/>
              <w:rPr>
                <w:rFonts w:ascii="Titillium Web" w:hAnsi="Titillium Web" w:eastAsia="Arial" w:cs="Arial"/>
                <w:color w:val="000000"/>
                <w:sz w:val="20"/>
                <w:szCs w:val="20"/>
                <w:shd w:val="clear" w:color="auto" w:fill="D9E1F2"/>
              </w:rPr>
            </w:pPr>
          </w:p>
        </w:tc>
      </w:tr>
    </w:tbl>
    <w:p w14:paraId="1DD4BF90">
      <w:pPr>
        <w:pStyle w:val="5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itillium Web">
    <w:altName w:val="Segoe Print"/>
    <w:panose1 w:val="00000000000000000000"/>
    <w:charset w:val="00"/>
    <w:family w:val="auto"/>
    <w:pitch w:val="default"/>
    <w:sig w:usb0="00000000" w:usb1="00000000" w:usb2="00000000" w:usb3="00000000" w:csb0="00000093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48F1C9">
    <w:pPr>
      <w:pStyle w:val="7"/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-167005</wp:posOffset>
          </wp:positionV>
          <wp:extent cx="6538595" cy="922655"/>
          <wp:effectExtent l="0" t="0" r="1905" b="4445"/>
          <wp:wrapNone/>
          <wp:docPr id="25" name="Immagin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magine 2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38606" cy="92283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E40D19">
    <w:pPr>
      <w:pStyle w:val="7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-175895</wp:posOffset>
          </wp:positionV>
          <wp:extent cx="6116320" cy="864235"/>
          <wp:effectExtent l="0" t="0" r="5080" b="0"/>
          <wp:wrapNone/>
          <wp:docPr id="124751184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7511841" name="Immagine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42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BBEC56">
    <w:pPr>
      <w:pStyle w:val="6"/>
    </w:pPr>
    <w:r>
      <w:drawing>
        <wp:inline distT="0" distB="0" distL="0" distR="0">
          <wp:extent cx="6114415" cy="766445"/>
          <wp:effectExtent l="0" t="0" r="635" b="0"/>
          <wp:docPr id="113775162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7751624" name="Immagine 2"/>
                  <pic:cNvPicPr>
                    <a:picLocks noChangeAspect="1"/>
                  </pic:cNvPicPr>
                </pic:nvPicPr>
                <pic:blipFill>
                  <a:blip r:embed="rId1"/>
                  <a:srcRect t="34802" b="27584"/>
                  <a:stretch>
                    <a:fillRect/>
                  </a:stretch>
                </pic:blipFill>
                <pic:spPr>
                  <a:xfrm>
                    <a:off x="0" y="0"/>
                    <a:ext cx="6116320" cy="766946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E981E1">
    <w:pPr>
      <w:pStyle w:val="6"/>
    </w:pPr>
    <w:r>
      <w:pict>
        <v:shape id="WordPictureWatermark2" o:spid="_x0000_s1026" o:spt="75" type="#_x0000_t75" style="position:absolute;left:0pt;height:788.1pt;width:488.1pt;mso-position-horizontal:center;mso-position-horizontal-relative:margin;mso-position-vertical:center;mso-position-vertical-relative:margin;z-index:-251656192;mso-width-relative:page;mso-height-relative:page;" filled="f" o:preferrelative="t" stroked="f" coordsize="21600,21600">
          <v:path/>
          <v:fill on="f" focussize="0,0"/>
          <v:stroke on="f" joinstyle="miter"/>
          <v:imagedata r:id="rId1" o:title="bilancio_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5F3687">
    <w:pPr>
      <w:pStyle w:val="6"/>
    </w:pPr>
    <w:r>
      <w:drawing>
        <wp:inline distT="0" distB="0" distL="0" distR="0">
          <wp:extent cx="6114415" cy="766445"/>
          <wp:effectExtent l="0" t="0" r="635" b="0"/>
          <wp:docPr id="32786896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7868961" name="Immagine 2"/>
                  <pic:cNvPicPr>
                    <a:picLocks noChangeAspect="1"/>
                  </pic:cNvPicPr>
                </pic:nvPicPr>
                <pic:blipFill>
                  <a:blip r:embed="rId1"/>
                  <a:srcRect t="34802" b="27584"/>
                  <a:stretch>
                    <a:fillRect/>
                  </a:stretch>
                </pic:blipFill>
                <pic:spPr>
                  <a:xfrm>
                    <a:off x="0" y="0"/>
                    <a:ext cx="6116320" cy="766946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283"/>
  <w:characterSpacingControl w:val="doNotCompress"/>
  <w:hdrShapeDefaults>
    <o:shapelayout v:ext="edit">
      <o:idmap v:ext="edit" data="1"/>
    </o:shapelayout>
  </w:hdrShapeDefaults>
  <w:endnotePr>
    <w:numFmt w:val="decimal"/>
    <w:endnote w:id="2"/>
    <w:endnote w:id="3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FDE"/>
    <w:rsid w:val="000805FA"/>
    <w:rsid w:val="000C69D2"/>
    <w:rsid w:val="001406A7"/>
    <w:rsid w:val="00163870"/>
    <w:rsid w:val="00181CB0"/>
    <w:rsid w:val="001A6225"/>
    <w:rsid w:val="001C1AF9"/>
    <w:rsid w:val="001C52E8"/>
    <w:rsid w:val="001E1305"/>
    <w:rsid w:val="00205D56"/>
    <w:rsid w:val="0023412C"/>
    <w:rsid w:val="002935BC"/>
    <w:rsid w:val="00333E60"/>
    <w:rsid w:val="00362FDE"/>
    <w:rsid w:val="00393F38"/>
    <w:rsid w:val="0039751F"/>
    <w:rsid w:val="003C0AA0"/>
    <w:rsid w:val="003C32F1"/>
    <w:rsid w:val="00481A67"/>
    <w:rsid w:val="004A4C77"/>
    <w:rsid w:val="004F0283"/>
    <w:rsid w:val="004F36E3"/>
    <w:rsid w:val="00571DAD"/>
    <w:rsid w:val="005B42B1"/>
    <w:rsid w:val="00622735"/>
    <w:rsid w:val="0064140D"/>
    <w:rsid w:val="0066154E"/>
    <w:rsid w:val="00696A31"/>
    <w:rsid w:val="006B0F50"/>
    <w:rsid w:val="006F2D9D"/>
    <w:rsid w:val="007B522B"/>
    <w:rsid w:val="007C6F2B"/>
    <w:rsid w:val="0089263A"/>
    <w:rsid w:val="008D319F"/>
    <w:rsid w:val="00937E60"/>
    <w:rsid w:val="009B0795"/>
    <w:rsid w:val="009F4442"/>
    <w:rsid w:val="00A077E9"/>
    <w:rsid w:val="00A560F4"/>
    <w:rsid w:val="00B279B3"/>
    <w:rsid w:val="00B847AD"/>
    <w:rsid w:val="00BB0A9A"/>
    <w:rsid w:val="00BD6850"/>
    <w:rsid w:val="00BE425B"/>
    <w:rsid w:val="00C87DFE"/>
    <w:rsid w:val="00CA7C7C"/>
    <w:rsid w:val="00CF0EAC"/>
    <w:rsid w:val="00CF20FE"/>
    <w:rsid w:val="00D060CC"/>
    <w:rsid w:val="00D86B53"/>
    <w:rsid w:val="00DB342A"/>
    <w:rsid w:val="00DF454C"/>
    <w:rsid w:val="00E47B76"/>
    <w:rsid w:val="00EF77EF"/>
    <w:rsid w:val="00F27DDF"/>
    <w:rsid w:val="00FA7BE3"/>
    <w:rsid w:val="00FD7CBB"/>
    <w:rsid w:val="00FF2A3F"/>
    <w:rsid w:val="0328450E"/>
    <w:rsid w:val="57EB5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semiHidden="0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it-IT" w:eastAsia="it-IT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ndnote reference"/>
    <w:basedOn w:val="2"/>
    <w:semiHidden/>
    <w:unhideWhenUsed/>
    <w:qFormat/>
    <w:uiPriority w:val="99"/>
    <w:rPr>
      <w:vertAlign w:val="superscript"/>
    </w:rPr>
  </w:style>
  <w:style w:type="paragraph" w:styleId="5">
    <w:name w:val="endnote text"/>
    <w:basedOn w:val="1"/>
    <w:link w:val="11"/>
    <w:unhideWhenUsed/>
    <w:qFormat/>
    <w:uiPriority w:val="99"/>
    <w:rPr>
      <w:sz w:val="20"/>
      <w:szCs w:val="20"/>
    </w:rPr>
  </w:style>
  <w:style w:type="paragraph" w:styleId="6">
    <w:name w:val="header"/>
    <w:basedOn w:val="1"/>
    <w:link w:val="9"/>
    <w:unhideWhenUsed/>
    <w:qFormat/>
    <w:uiPriority w:val="99"/>
    <w:pPr>
      <w:tabs>
        <w:tab w:val="center" w:pos="4819"/>
        <w:tab w:val="right" w:pos="9638"/>
      </w:tabs>
    </w:pPr>
  </w:style>
  <w:style w:type="paragraph" w:styleId="7">
    <w:name w:val="footer"/>
    <w:basedOn w:val="1"/>
    <w:link w:val="10"/>
    <w:unhideWhenUsed/>
    <w:qFormat/>
    <w:uiPriority w:val="99"/>
    <w:pPr>
      <w:tabs>
        <w:tab w:val="center" w:pos="4819"/>
        <w:tab w:val="right" w:pos="9638"/>
      </w:tabs>
    </w:pPr>
  </w:style>
  <w:style w:type="table" w:styleId="8">
    <w:name w:val="Table Grid"/>
    <w:basedOn w:val="3"/>
    <w:qFormat/>
    <w:uiPriority w:val="39"/>
    <w:rPr>
      <w:rFonts w:ascii="Arial" w:hAnsi="Arial" w:eastAsia="Arial" w:cs="Arial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9">
    <w:name w:val="Intestazione Carattere"/>
    <w:basedOn w:val="2"/>
    <w:link w:val="6"/>
    <w:qFormat/>
    <w:uiPriority w:val="99"/>
  </w:style>
  <w:style w:type="character" w:customStyle="1" w:styleId="10">
    <w:name w:val="Piè di pagina Carattere"/>
    <w:basedOn w:val="2"/>
    <w:link w:val="7"/>
    <w:qFormat/>
    <w:uiPriority w:val="99"/>
  </w:style>
  <w:style w:type="character" w:customStyle="1" w:styleId="11">
    <w:name w:val="Testo nota di chiusura Carattere"/>
    <w:basedOn w:val="2"/>
    <w:link w:val="5"/>
    <w:qFormat/>
    <w:uiPriority w:val="99"/>
    <w:rPr>
      <w:sz w:val="20"/>
      <w:szCs w:val="20"/>
    </w:rPr>
  </w:style>
  <w:style w:type="table" w:customStyle="1" w:styleId="12">
    <w:name w:val="Griglia tabella1"/>
    <w:basedOn w:val="3"/>
    <w:qFormat/>
    <w:uiPriority w:val="39"/>
    <w:rPr>
      <w:rFonts w:ascii="Arial" w:hAnsi="Arial" w:eastAsia="Arial" w:cs="Arial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endnotes" Target="end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5.xml"/><Relationship Id="rId14" Type="http://schemas.openxmlformats.org/officeDocument/2006/relationships/customXml" Target="../customXml/item4.xml"/><Relationship Id="rId13" Type="http://schemas.openxmlformats.org/officeDocument/2006/relationships/customXml" Target="../customXml/item3.xml"/><Relationship Id="rId12" Type="http://schemas.openxmlformats.org/officeDocument/2006/relationships/customXml" Target="../customXml/item2.xml"/><Relationship Id="rId11" Type="http://schemas.openxmlformats.org/officeDocument/2006/relationships/customXml" Target="../customXml/item1.xml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40ba01-8984-43ef-9c48-57dd13317510" xsi:nil="true"/>
    <lcf76f155ced4ddcb4097134ff3c332f xmlns="65f3d0ed-a517-4cc2-8d85-3f3b0f89f380">
      <Terms xmlns="http://schemas.microsoft.com/office/infopath/2007/PartnerControls"/>
    </lcf76f155ced4ddcb4097134ff3c332f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5AB7F3EB30B54988EC6A633916B1EA" ma:contentTypeVersion="14" ma:contentTypeDescription="Creare un nuovo documento." ma:contentTypeScope="" ma:versionID="e4c6bf9ca40b5474d28de3b820fe9ee6">
  <xsd:schema xmlns:xsd="http://www.w3.org/2001/XMLSchema" xmlns:xs="http://www.w3.org/2001/XMLSchema" xmlns:p="http://schemas.microsoft.com/office/2006/metadata/properties" xmlns:ns2="65f3d0ed-a517-4cc2-8d85-3f3b0f89f380" xmlns:ns3="7f40ba01-8984-43ef-9c48-57dd13317510" targetNamespace="http://schemas.microsoft.com/office/2006/metadata/properties" ma:root="true" ma:fieldsID="d748fa621d02ef0e467416e974a32ff3" ns2:_="" ns3:_="">
    <xsd:import namespace="65f3d0ed-a517-4cc2-8d85-3f3b0f89f380"/>
    <xsd:import namespace="7f40ba01-8984-43ef-9c48-57dd13317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d0ed-a517-4cc2-8d85-3f3b0f89f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a087d216-9da7-4ca6-a432-9e625d0d4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0ba01-8984-43ef-9c48-57dd13317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4785ee9-8684-41cf-b7ca-d094007c099b}" ma:internalName="TaxCatchAll" ma:showField="CatchAllData" ma:web="7f40ba01-8984-43ef-9c48-57dd13317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BCC9BA6-F8C6-4AA9-94B7-B03BC172FDCA}">
  <ds:schemaRefs/>
</ds:datastoreItem>
</file>

<file path=customXml/itemProps3.xml><?xml version="1.0" encoding="utf-8"?>
<ds:datastoreItem xmlns:ds="http://schemas.openxmlformats.org/officeDocument/2006/customXml" ds:itemID="{2521409C-461B-4D29-8842-2B765B7AE54C}">
  <ds:schemaRefs/>
</ds:datastoreItem>
</file>

<file path=customXml/itemProps4.xml><?xml version="1.0" encoding="utf-8"?>
<ds:datastoreItem xmlns:ds="http://schemas.openxmlformats.org/officeDocument/2006/customXml" ds:itemID="{ACD9FA14-AE65-4D8A-B9E0-C45B4D449E20}">
  <ds:schemaRefs/>
</ds:datastoreItem>
</file>

<file path=customXml/itemProps5.xml><?xml version="1.0" encoding="utf-8"?>
<ds:datastoreItem xmlns:ds="http://schemas.openxmlformats.org/officeDocument/2006/customXml" ds:itemID="{E0EB34EB-8CAD-4AFA-A728-FE185809ADD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INDIRE</Company>
  <Pages>7</Pages>
  <Words>1095</Words>
  <Characters>7607</Characters>
  <Lines>63</Lines>
  <Paragraphs>17</Paragraphs>
  <TotalTime>6</TotalTime>
  <ScaleCrop>false</ScaleCrop>
  <LinksUpToDate>false</LinksUpToDate>
  <CharactersWithSpaces>8602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2025-01-07T13:17:00Z</dcterms:created>
  <dc:creator>LORENZO CALISTRI</dc:creator>
  <cp:lastModifiedBy>Lorella Iafrate</cp:lastModifiedBy>
  <cp:lastPrinted>2023-11-14T13:20:00Z</cp:lastPrinted>
  <dcterms:modified xsi:type="dcterms:W3CDTF">2026-10-05T06:32:03Z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0x010100C85AB7F3EB30B54988EC6A633916B1EA</vt:lpwstr>
  </property>
  <property fmtid="{D5CDD505-2E9C-101B-9397-08002B2CF9AE}" pid="3" name="KSOProductBuildVer">
    <vt:lpwstr>1040-12.1.0.28485</vt:lpwstr>
  </property>
  <property fmtid="{D5CDD505-2E9C-101B-9397-08002B2CF9AE}" pid="4" name="ICV">
    <vt:lpwstr>A2AC3AB129C9453BBF9AB9A40C8DE56A_13</vt:lpwstr>
  </property>
</Properties>
</file>